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452" w:type="dxa"/>
        <w:tblLook w:val="0000"/>
      </w:tblPr>
      <w:tblGrid>
        <w:gridCol w:w="3780"/>
        <w:gridCol w:w="6300"/>
      </w:tblGrid>
      <w:tr w:rsidR="00D2075B" w:rsidRPr="00BB531A" w:rsidTr="00532829">
        <w:tc>
          <w:tcPr>
            <w:tcW w:w="3780" w:type="dxa"/>
          </w:tcPr>
          <w:p w:rsidR="00D2075B" w:rsidRPr="00BB531A" w:rsidRDefault="00D2075B" w:rsidP="00532829">
            <w:pPr>
              <w:jc w:val="center"/>
              <w:rPr>
                <w:b/>
                <w:sz w:val="26"/>
              </w:rPr>
            </w:pPr>
            <w:r w:rsidRPr="00BB531A">
              <w:rPr>
                <w:b/>
                <w:sz w:val="26"/>
              </w:rPr>
              <w:t>ỦY BAN NHÂN DÂN</w:t>
            </w:r>
          </w:p>
          <w:p w:rsidR="00D2075B" w:rsidRPr="00BB531A" w:rsidRDefault="00D2075B" w:rsidP="00532829">
            <w:pPr>
              <w:jc w:val="center"/>
              <w:rPr>
                <w:b/>
                <w:sz w:val="26"/>
              </w:rPr>
            </w:pPr>
            <w:r w:rsidRPr="00BB531A">
              <w:rPr>
                <w:b/>
                <w:sz w:val="26"/>
              </w:rPr>
              <w:t xml:space="preserve">TỈNH </w:t>
            </w:r>
            <w:r>
              <w:rPr>
                <w:b/>
                <w:sz w:val="26"/>
              </w:rPr>
              <w:t>BẮC GIANG</w:t>
            </w:r>
          </w:p>
          <w:p w:rsidR="00D2075B" w:rsidRPr="00BB531A" w:rsidRDefault="003C4660" w:rsidP="00532829">
            <w:pPr>
              <w:jc w:val="center"/>
              <w:rPr>
                <w:b/>
                <w:sz w:val="26"/>
              </w:rPr>
            </w:pPr>
            <w:r>
              <w:rPr>
                <w:b/>
                <w:noProof/>
                <w:sz w:val="26"/>
              </w:rPr>
              <w:pict>
                <v:line id="_x0000_s1026" style="position:absolute;left:0;text-align:left;z-index:251660288" from="67.6pt,-.6pt" to="112.6pt,-.6pt"/>
              </w:pict>
            </w:r>
          </w:p>
          <w:p w:rsidR="00D2075B" w:rsidRPr="00BB531A" w:rsidRDefault="00D2075B" w:rsidP="00532829">
            <w:pPr>
              <w:jc w:val="center"/>
              <w:rPr>
                <w:sz w:val="26"/>
              </w:rPr>
            </w:pPr>
            <w:r w:rsidRPr="00BB531A">
              <w:rPr>
                <w:sz w:val="26"/>
              </w:rPr>
              <w:t xml:space="preserve">Số: </w:t>
            </w:r>
            <w:r>
              <w:rPr>
                <w:sz w:val="26"/>
              </w:rPr>
              <w:t xml:space="preserve">   </w:t>
            </w:r>
            <w:r w:rsidRPr="00BB531A">
              <w:rPr>
                <w:sz w:val="26"/>
              </w:rPr>
              <w:t>/201</w:t>
            </w:r>
            <w:r>
              <w:rPr>
                <w:sz w:val="26"/>
              </w:rPr>
              <w:t>7</w:t>
            </w:r>
            <w:r w:rsidRPr="00BB531A">
              <w:rPr>
                <w:sz w:val="26"/>
              </w:rPr>
              <w:t>/QĐ-UBND</w:t>
            </w:r>
          </w:p>
        </w:tc>
        <w:tc>
          <w:tcPr>
            <w:tcW w:w="6300" w:type="dxa"/>
          </w:tcPr>
          <w:p w:rsidR="00D2075B" w:rsidRPr="00BB531A" w:rsidRDefault="00D2075B" w:rsidP="00532829">
            <w:pPr>
              <w:jc w:val="center"/>
              <w:rPr>
                <w:b/>
                <w:sz w:val="26"/>
              </w:rPr>
            </w:pPr>
            <w:r w:rsidRPr="00BB531A">
              <w:rPr>
                <w:b/>
                <w:sz w:val="26"/>
              </w:rPr>
              <w:t xml:space="preserve">CỘNG HOÀ XÃ HỘI CHỦ NGHĨA VIỆT </w:t>
            </w:r>
            <w:smartTag w:uri="urn:schemas-microsoft-com:office:smarttags" w:element="place">
              <w:smartTag w:uri="urn:schemas-microsoft-com:office:smarttags" w:element="country-region">
                <w:r w:rsidRPr="00BB531A">
                  <w:rPr>
                    <w:b/>
                    <w:sz w:val="26"/>
                  </w:rPr>
                  <w:t>NAM</w:t>
                </w:r>
              </w:smartTag>
            </w:smartTag>
          </w:p>
          <w:p w:rsidR="00D2075B" w:rsidRPr="00BB531A" w:rsidRDefault="00D2075B" w:rsidP="00532829">
            <w:pPr>
              <w:jc w:val="center"/>
              <w:rPr>
                <w:b/>
              </w:rPr>
            </w:pPr>
            <w:r w:rsidRPr="00BB531A">
              <w:rPr>
                <w:b/>
              </w:rPr>
              <w:t>Độc lập - Tự do - Hạnh phúc</w:t>
            </w:r>
          </w:p>
          <w:p w:rsidR="00D2075B" w:rsidRPr="00BB531A" w:rsidRDefault="003C4660" w:rsidP="00532829">
            <w:pPr>
              <w:jc w:val="center"/>
              <w:rPr>
                <w:b/>
                <w:sz w:val="26"/>
              </w:rPr>
            </w:pPr>
            <w:r>
              <w:rPr>
                <w:b/>
                <w:noProof/>
                <w:sz w:val="26"/>
              </w:rPr>
              <w:pict>
                <v:line id="_x0000_s1027" style="position:absolute;left:0;text-align:left;z-index:251661312" from="93.7pt,-.4pt" to="219.7pt,-.4pt"/>
              </w:pict>
            </w:r>
          </w:p>
          <w:p w:rsidR="00D2075B" w:rsidRPr="00BB531A" w:rsidRDefault="00D2075B" w:rsidP="00532829">
            <w:pPr>
              <w:jc w:val="center"/>
              <w:rPr>
                <w:i/>
                <w:sz w:val="26"/>
              </w:rPr>
            </w:pPr>
            <w:r w:rsidRPr="00B418DA">
              <w:rPr>
                <w:i/>
              </w:rPr>
              <w:t>Bắc Giang, ngày    tháng     năm 2017</w:t>
            </w:r>
          </w:p>
        </w:tc>
      </w:tr>
    </w:tbl>
    <w:p w:rsidR="00D2075B" w:rsidRDefault="00D2075B" w:rsidP="00D2075B">
      <w:pPr>
        <w:jc w:val="both"/>
        <w:rPr>
          <w:b/>
        </w:rPr>
      </w:pPr>
      <w:r w:rsidRPr="007E30FE">
        <w:rPr>
          <w:b/>
        </w:rPr>
        <w:tab/>
        <w:t>Dự thảo</w:t>
      </w:r>
      <w:r>
        <w:rPr>
          <w:b/>
        </w:rPr>
        <w:t xml:space="preserve"> 1</w:t>
      </w:r>
    </w:p>
    <w:p w:rsidR="00D2075B" w:rsidRPr="007E30FE" w:rsidRDefault="00D2075B" w:rsidP="00D2075B">
      <w:pPr>
        <w:jc w:val="both"/>
        <w:rPr>
          <w:b/>
        </w:rPr>
      </w:pPr>
    </w:p>
    <w:p w:rsidR="00D2075B" w:rsidRDefault="00D2075B" w:rsidP="00D2075B">
      <w:pPr>
        <w:jc w:val="center"/>
        <w:rPr>
          <w:b/>
        </w:rPr>
      </w:pPr>
      <w:r w:rsidRPr="00BB531A">
        <w:rPr>
          <w:b/>
        </w:rPr>
        <w:t>QUYẾT ĐỊNH</w:t>
      </w:r>
    </w:p>
    <w:p w:rsidR="00D2075B" w:rsidRDefault="00D2075B" w:rsidP="00D2075B">
      <w:pPr>
        <w:jc w:val="center"/>
        <w:rPr>
          <w:b/>
        </w:rPr>
      </w:pPr>
      <w:r>
        <w:rPr>
          <w:b/>
        </w:rPr>
        <w:t>Phê duyệt giá dịch vụ trông giữ xe trên địa bàn tỉnh Bắc Giang</w:t>
      </w:r>
    </w:p>
    <w:p w:rsidR="00D2075B" w:rsidRDefault="003C4660" w:rsidP="00D2075B">
      <w:pPr>
        <w:jc w:val="center"/>
        <w:rPr>
          <w:b/>
        </w:rPr>
      </w:pPr>
      <w:r>
        <w:rPr>
          <w:b/>
          <w:noProof/>
        </w:rPr>
        <w:pict>
          <v:line id="_x0000_s1028" style="position:absolute;left:0;text-align:left;z-index:251662336" from="167.2pt,6.5pt" to="284.2pt,6.5pt"/>
        </w:pict>
      </w:r>
    </w:p>
    <w:p w:rsidR="00D2075B" w:rsidRPr="00BB531A" w:rsidRDefault="00D2075B" w:rsidP="00D2075B">
      <w:pPr>
        <w:spacing w:before="60" w:line="360" w:lineRule="atLeast"/>
        <w:jc w:val="center"/>
        <w:rPr>
          <w:b/>
          <w:iCs/>
        </w:rPr>
      </w:pPr>
      <w:r w:rsidRPr="00BB531A">
        <w:rPr>
          <w:b/>
        </w:rPr>
        <w:t xml:space="preserve">UỶ BAN NHÂN DÂN TỈNH </w:t>
      </w:r>
      <w:r>
        <w:rPr>
          <w:b/>
        </w:rPr>
        <w:t>BẮC GIANG</w:t>
      </w:r>
    </w:p>
    <w:p w:rsidR="00D2075B" w:rsidRPr="00232CA5" w:rsidRDefault="00D2075B" w:rsidP="00D2075B">
      <w:pPr>
        <w:spacing w:before="60" w:line="360" w:lineRule="atLeast"/>
        <w:ind w:firstLine="567"/>
        <w:jc w:val="both"/>
        <w:rPr>
          <w:i/>
        </w:rPr>
      </w:pPr>
      <w:r w:rsidRPr="00232CA5">
        <w:rPr>
          <w:i/>
          <w:lang w:val="nl-NL"/>
        </w:rPr>
        <w:t>Căn cứ Luật tổ chức chính quyền địa phương ngày 19</w:t>
      </w:r>
      <w:r>
        <w:rPr>
          <w:i/>
          <w:lang w:val="nl-NL"/>
        </w:rPr>
        <w:t xml:space="preserve"> tháng </w:t>
      </w:r>
      <w:r w:rsidRPr="00232CA5">
        <w:rPr>
          <w:i/>
          <w:lang w:val="nl-NL"/>
        </w:rPr>
        <w:t>6</w:t>
      </w:r>
      <w:r>
        <w:rPr>
          <w:i/>
          <w:lang w:val="nl-NL"/>
        </w:rPr>
        <w:t xml:space="preserve"> năm </w:t>
      </w:r>
      <w:r w:rsidRPr="00232CA5">
        <w:rPr>
          <w:i/>
          <w:lang w:val="nl-NL"/>
        </w:rPr>
        <w:t>2015;</w:t>
      </w:r>
    </w:p>
    <w:p w:rsidR="00D2075B" w:rsidRPr="00B85D40" w:rsidRDefault="00D2075B" w:rsidP="00D2075B">
      <w:pPr>
        <w:spacing w:before="60" w:line="360" w:lineRule="atLeast"/>
        <w:ind w:firstLine="567"/>
        <w:jc w:val="both"/>
        <w:rPr>
          <w:i/>
          <w:iCs/>
          <w:spacing w:val="-10"/>
        </w:rPr>
      </w:pPr>
      <w:r w:rsidRPr="00B85D40">
        <w:rPr>
          <w:i/>
          <w:iCs/>
          <w:spacing w:val="-10"/>
        </w:rPr>
        <w:t xml:space="preserve">Căn cứ Luật Ban hành văn bản quy phạm pháp luật ngày 22 </w:t>
      </w:r>
      <w:r w:rsidRPr="00B85D40">
        <w:rPr>
          <w:i/>
          <w:spacing w:val="-10"/>
          <w:lang w:val="nl-NL"/>
        </w:rPr>
        <w:t>tháng 6 năm 2015;</w:t>
      </w:r>
    </w:p>
    <w:p w:rsidR="00D2075B" w:rsidRDefault="00D2075B" w:rsidP="00D2075B">
      <w:pPr>
        <w:spacing w:before="60" w:line="360" w:lineRule="atLeast"/>
        <w:ind w:firstLine="567"/>
        <w:jc w:val="both"/>
        <w:rPr>
          <w:i/>
          <w:iCs/>
        </w:rPr>
      </w:pPr>
      <w:r w:rsidRPr="00232CA5">
        <w:rPr>
          <w:i/>
          <w:iCs/>
        </w:rPr>
        <w:t>Căn cứ Luật Giá ngày 20</w:t>
      </w:r>
      <w:r>
        <w:rPr>
          <w:i/>
          <w:iCs/>
        </w:rPr>
        <w:t xml:space="preserve"> tháng </w:t>
      </w:r>
      <w:r w:rsidRPr="00232CA5">
        <w:rPr>
          <w:i/>
          <w:iCs/>
        </w:rPr>
        <w:t>6</w:t>
      </w:r>
      <w:r>
        <w:rPr>
          <w:i/>
          <w:iCs/>
        </w:rPr>
        <w:t xml:space="preserve"> năm </w:t>
      </w:r>
      <w:r w:rsidRPr="00232CA5">
        <w:rPr>
          <w:i/>
          <w:iCs/>
        </w:rPr>
        <w:t>2012;</w:t>
      </w:r>
    </w:p>
    <w:p w:rsidR="00D2075B" w:rsidRPr="00017645" w:rsidRDefault="00D2075B" w:rsidP="00D2075B">
      <w:pPr>
        <w:spacing w:before="60" w:line="360" w:lineRule="atLeast"/>
        <w:ind w:firstLine="567"/>
        <w:jc w:val="both"/>
        <w:rPr>
          <w:i/>
        </w:rPr>
      </w:pPr>
      <w:r w:rsidRPr="00017645">
        <w:rPr>
          <w:i/>
        </w:rPr>
        <w:t xml:space="preserve">Căn cứ Nghị định số 177/2013/NĐ-CP ngày 14 tháng 11 năm 2013 của Chính phủ Quy định chi tiết và hướng dẫn thi hành một số điều của Luật Giá; </w:t>
      </w:r>
    </w:p>
    <w:p w:rsidR="00D2075B" w:rsidRDefault="00D2075B" w:rsidP="00D2075B">
      <w:pPr>
        <w:spacing w:before="60" w:line="360" w:lineRule="atLeast"/>
        <w:ind w:firstLine="567"/>
        <w:jc w:val="both"/>
        <w:rPr>
          <w:i/>
        </w:rPr>
      </w:pPr>
      <w:r w:rsidRPr="00017645">
        <w:rPr>
          <w:i/>
        </w:rPr>
        <w:t xml:space="preserve">Căn cứ Nghị định số 149/2016/NĐ-CP ngày 11 tháng 11 năm 2016 của Chính </w:t>
      </w:r>
      <w:r>
        <w:rPr>
          <w:i/>
        </w:rPr>
        <w:t>p</w:t>
      </w:r>
      <w:r w:rsidRPr="00017645">
        <w:rPr>
          <w:i/>
        </w:rPr>
        <w:t>hủ sửa đổi, bổ sung một số điều của Nghị định số 177/2013/NĐ-CP ngày 14 tháng 11 năm 2013 của Chính phủ;</w:t>
      </w:r>
    </w:p>
    <w:p w:rsidR="00D2075B" w:rsidRDefault="00D2075B" w:rsidP="00D2075B">
      <w:pPr>
        <w:spacing w:before="60" w:line="360" w:lineRule="atLeast"/>
        <w:ind w:firstLine="567"/>
        <w:jc w:val="both"/>
        <w:rPr>
          <w:i/>
        </w:rPr>
      </w:pPr>
      <w:r w:rsidRPr="00017645">
        <w:rPr>
          <w:i/>
        </w:rPr>
        <w:t>Căn cứ Thông tư số 56/2014/TT-BTC ngày 28 tháng 4 năm 2014 của Bộ Tài chính hướng dẫn thực hiện Nghị định số 177/2013/NĐ-CP ngày 14 tháng 11 năm 2013 của Chính phủ Quy định chi tiết và hướng dẫn thi hành một số điều của Luật Giá;</w:t>
      </w:r>
    </w:p>
    <w:p w:rsidR="00D2075B" w:rsidRDefault="00D2075B" w:rsidP="00D2075B">
      <w:pPr>
        <w:spacing w:before="60" w:line="360" w:lineRule="atLeast"/>
        <w:ind w:firstLine="567"/>
        <w:jc w:val="both"/>
        <w:rPr>
          <w:i/>
        </w:rPr>
      </w:pPr>
      <w:r w:rsidRPr="00017645">
        <w:rPr>
          <w:i/>
        </w:rPr>
        <w:t xml:space="preserve">Căn cứ Thông tư số 233/2016/TT-BTC ngày 11 tháng 11 năm 2016 của Bộ Tài chính </w:t>
      </w:r>
      <w:r>
        <w:rPr>
          <w:i/>
        </w:rPr>
        <w:t>s</w:t>
      </w:r>
      <w:r w:rsidRPr="00017645">
        <w:rPr>
          <w:i/>
        </w:rPr>
        <w:t>ửa đổi, bổ sung một số điều của Thông tư số 56/2014/TT-BTC ngày 28 tháng 4 năm 2014 của Bộ Tài chính hướng dẫn thực hiện Nghị định số 177/2013/NĐ-CP ngày 14 tháng 11 năm 2013 của Chính phủ Quy định chi tiết và hướng dẫn thi hành một số điều của Luật Giá;</w:t>
      </w:r>
    </w:p>
    <w:p w:rsidR="00D2075B" w:rsidRDefault="00D2075B" w:rsidP="00D2075B">
      <w:pPr>
        <w:spacing w:before="60" w:line="360" w:lineRule="atLeast"/>
        <w:ind w:firstLine="567"/>
        <w:jc w:val="both"/>
        <w:rPr>
          <w:i/>
          <w:spacing w:val="-4"/>
          <w:position w:val="2"/>
        </w:rPr>
      </w:pPr>
      <w:r w:rsidRPr="00017645">
        <w:rPr>
          <w:i/>
          <w:spacing w:val="-4"/>
          <w:position w:val="2"/>
        </w:rPr>
        <w:t>Căn cứ Thông tư số 25/2014/TT-BTC ngày 17 tháng 02 năm 2014 của Bộ Tài chính quy định phương pháp định giá chung đối với hàng hóa, dịch vụ;</w:t>
      </w:r>
    </w:p>
    <w:p w:rsidR="00D2075B" w:rsidRPr="00AB794A" w:rsidRDefault="00D2075B" w:rsidP="00D2075B">
      <w:pPr>
        <w:spacing w:before="60" w:line="360" w:lineRule="atLeast"/>
        <w:ind w:firstLine="567"/>
        <w:jc w:val="both"/>
        <w:rPr>
          <w:i/>
          <w:iCs/>
        </w:rPr>
      </w:pPr>
      <w:r w:rsidRPr="00AB794A">
        <w:rPr>
          <w:i/>
          <w:iCs/>
        </w:rPr>
        <w:t xml:space="preserve">Theo đề nghị của Sở Tài chính tại Tờ trình số </w:t>
      </w:r>
      <w:r>
        <w:rPr>
          <w:i/>
          <w:iCs/>
        </w:rPr>
        <w:t xml:space="preserve">   </w:t>
      </w:r>
      <w:r w:rsidRPr="00AB794A">
        <w:rPr>
          <w:i/>
          <w:iCs/>
        </w:rPr>
        <w:t xml:space="preserve">/TTr-STC ngày </w:t>
      </w:r>
      <w:r>
        <w:rPr>
          <w:i/>
          <w:iCs/>
        </w:rPr>
        <w:t xml:space="preserve">   tháng 3 năm </w:t>
      </w:r>
      <w:r w:rsidRPr="00AB794A">
        <w:rPr>
          <w:i/>
          <w:iCs/>
        </w:rPr>
        <w:t>201</w:t>
      </w:r>
      <w:r>
        <w:rPr>
          <w:i/>
          <w:iCs/>
        </w:rPr>
        <w:t>7</w:t>
      </w:r>
      <w:r w:rsidRPr="00AB794A">
        <w:rPr>
          <w:i/>
          <w:iCs/>
        </w:rPr>
        <w:t>.</w:t>
      </w:r>
    </w:p>
    <w:p w:rsidR="00D2075B" w:rsidRPr="00BB531A" w:rsidRDefault="00D2075B" w:rsidP="00D2075B">
      <w:pPr>
        <w:spacing w:before="60" w:line="360" w:lineRule="atLeast"/>
        <w:ind w:firstLine="567"/>
        <w:jc w:val="center"/>
        <w:rPr>
          <w:b/>
          <w:iCs/>
        </w:rPr>
      </w:pPr>
      <w:r w:rsidRPr="00BB531A">
        <w:rPr>
          <w:b/>
          <w:iCs/>
        </w:rPr>
        <w:t>QUYẾT ĐỊNH:</w:t>
      </w:r>
    </w:p>
    <w:p w:rsidR="00D2075B" w:rsidRDefault="00D2075B" w:rsidP="00D2075B">
      <w:pPr>
        <w:spacing w:before="60" w:line="360" w:lineRule="atLeast"/>
        <w:ind w:firstLine="567"/>
        <w:jc w:val="both"/>
        <w:outlineLvl w:val="0"/>
        <w:rPr>
          <w:b/>
        </w:rPr>
      </w:pPr>
      <w:r w:rsidRPr="00AB3C04">
        <w:rPr>
          <w:b/>
        </w:rPr>
        <w:t xml:space="preserve">Điều 1. </w:t>
      </w:r>
      <w:r>
        <w:rPr>
          <w:b/>
        </w:rPr>
        <w:t>Phê duyệt giá dịch vụ trông giữ xe trên địa bàn tỉnh Bắc Giang</w:t>
      </w:r>
    </w:p>
    <w:p w:rsidR="00D2075B" w:rsidRPr="00532846" w:rsidRDefault="00D2075B" w:rsidP="00D2075B">
      <w:pPr>
        <w:spacing w:before="60" w:line="360" w:lineRule="atLeast"/>
        <w:ind w:firstLine="567"/>
        <w:jc w:val="center"/>
        <w:outlineLvl w:val="0"/>
        <w:rPr>
          <w:i/>
        </w:rPr>
      </w:pPr>
      <w:r w:rsidRPr="00532846">
        <w:rPr>
          <w:i/>
        </w:rPr>
        <w:t>(Có biểu giá kèm theo Quyết định)</w:t>
      </w:r>
    </w:p>
    <w:p w:rsidR="00D2075B" w:rsidRDefault="00D2075B" w:rsidP="00D2075B">
      <w:pPr>
        <w:spacing w:before="60" w:line="360" w:lineRule="atLeast"/>
        <w:ind w:firstLine="567"/>
        <w:jc w:val="both"/>
        <w:rPr>
          <w:spacing w:val="-4"/>
        </w:rPr>
      </w:pPr>
      <w:r>
        <w:rPr>
          <w:bCs/>
          <w:spacing w:val="-4"/>
        </w:rPr>
        <w:t>1.</w:t>
      </w:r>
      <w:r w:rsidRPr="006E6B58">
        <w:rPr>
          <w:bCs/>
          <w:spacing w:val="-4"/>
        </w:rPr>
        <w:t xml:space="preserve"> Mức giá trên </w:t>
      </w:r>
      <w:r>
        <w:rPr>
          <w:bCs/>
          <w:spacing w:val="-4"/>
        </w:rPr>
        <w:t xml:space="preserve">đã bao gồm thuế giá trị gia tăng và </w:t>
      </w:r>
      <w:r w:rsidRPr="006E6B58">
        <w:rPr>
          <w:bCs/>
          <w:spacing w:val="-4"/>
        </w:rPr>
        <w:t xml:space="preserve">được áp dụng cho các điểm đỗ, bãi trông giữ </w:t>
      </w:r>
      <w:r>
        <w:rPr>
          <w:bCs/>
          <w:spacing w:val="-4"/>
        </w:rPr>
        <w:t xml:space="preserve">xe được đầu tư bằng nguồn vốn ngân sách nhà nước </w:t>
      </w:r>
      <w:r w:rsidRPr="00FC0E9A">
        <w:t xml:space="preserve">trên địa bàn tỉnh </w:t>
      </w:r>
      <w:r>
        <w:t>Bắc Giang</w:t>
      </w:r>
      <w:r w:rsidRPr="00737FDA">
        <w:rPr>
          <w:spacing w:val="-4"/>
        </w:rPr>
        <w:t>.</w:t>
      </w:r>
    </w:p>
    <w:p w:rsidR="00D2075B" w:rsidRDefault="00D2075B" w:rsidP="00D2075B">
      <w:pPr>
        <w:spacing w:before="60" w:line="360" w:lineRule="atLeast"/>
        <w:ind w:firstLine="567"/>
        <w:jc w:val="both"/>
        <w:rPr>
          <w:lang w:val="nl-NL"/>
        </w:rPr>
      </w:pPr>
      <w:r>
        <w:rPr>
          <w:lang w:val="nl-NL"/>
        </w:rPr>
        <w:lastRenderedPageBreak/>
        <w:t xml:space="preserve">2. Đối với điểm, bãi trông giữ xe </w:t>
      </w:r>
      <w:r>
        <w:rPr>
          <w:bCs/>
          <w:spacing w:val="-4"/>
        </w:rPr>
        <w:t>được đầu tư bằng nguồn vốn ngoài ngân sách nhà nước</w:t>
      </w:r>
      <w:r>
        <w:rPr>
          <w:lang w:val="nl-NL"/>
        </w:rPr>
        <w:t xml:space="preserve">, mức giá trông giữ xe tối đa bằng 1,2 lần mức giá </w:t>
      </w:r>
      <w:r w:rsidRPr="006E6B58">
        <w:rPr>
          <w:bCs/>
          <w:spacing w:val="-4"/>
        </w:rPr>
        <w:t xml:space="preserve">điểm đỗ, bãi trông giữ </w:t>
      </w:r>
      <w:r>
        <w:rPr>
          <w:bCs/>
          <w:spacing w:val="-4"/>
        </w:rPr>
        <w:t>xe được đầu tư bằng nguồn vốn ngân sách nhà nước</w:t>
      </w:r>
      <w:r>
        <w:rPr>
          <w:lang w:val="nl-NL"/>
        </w:rPr>
        <w:t>.</w:t>
      </w:r>
    </w:p>
    <w:p w:rsidR="00D2075B" w:rsidRPr="005C4D0C" w:rsidRDefault="00D2075B" w:rsidP="00D2075B">
      <w:pPr>
        <w:spacing w:before="60" w:line="360" w:lineRule="atLeast"/>
        <w:ind w:firstLine="567"/>
        <w:jc w:val="both"/>
        <w:outlineLvl w:val="0"/>
        <w:rPr>
          <w:b/>
          <w:iCs/>
        </w:rPr>
      </w:pPr>
      <w:r w:rsidRPr="005C4D0C">
        <w:rPr>
          <w:b/>
          <w:iCs/>
        </w:rPr>
        <w:t>Điều 2. Đối tượng áp dụng</w:t>
      </w:r>
    </w:p>
    <w:p w:rsidR="00D2075B" w:rsidRDefault="00D2075B" w:rsidP="00D2075B">
      <w:pPr>
        <w:spacing w:before="60" w:line="360" w:lineRule="atLeast"/>
        <w:ind w:firstLine="567"/>
        <w:jc w:val="both"/>
      </w:pPr>
      <w:r>
        <w:rPr>
          <w:color w:val="000000"/>
        </w:rPr>
        <w:t xml:space="preserve">1. </w:t>
      </w:r>
      <w:r>
        <w:rPr>
          <w:spacing w:val="-2"/>
        </w:rPr>
        <w:t>Tổ chức, cá nhân</w:t>
      </w:r>
      <w:r w:rsidRPr="0029413C">
        <w:rPr>
          <w:spacing w:val="-2"/>
        </w:rPr>
        <w:t xml:space="preserve"> </w:t>
      </w:r>
      <w:r>
        <w:t xml:space="preserve">được giao nhiệm vụ quản lý </w:t>
      </w:r>
      <w:r w:rsidRPr="006E6B58">
        <w:rPr>
          <w:bCs/>
          <w:spacing w:val="-4"/>
        </w:rPr>
        <w:t xml:space="preserve">các điểm đỗ, bãi trông giữ phương tiện </w:t>
      </w:r>
      <w:r w:rsidRPr="0029413C">
        <w:rPr>
          <w:spacing w:val="-2"/>
        </w:rPr>
        <w:t xml:space="preserve">được thu tiền </w:t>
      </w:r>
      <w:r>
        <w:rPr>
          <w:spacing w:val="-2"/>
        </w:rPr>
        <w:t>trông giữ xe</w:t>
      </w:r>
      <w:r>
        <w:t>.</w:t>
      </w:r>
    </w:p>
    <w:p w:rsidR="00D2075B" w:rsidRDefault="00D2075B" w:rsidP="00D2075B">
      <w:pPr>
        <w:spacing w:before="60" w:line="360" w:lineRule="atLeast"/>
        <w:ind w:firstLine="567"/>
        <w:jc w:val="both"/>
        <w:rPr>
          <w:color w:val="000000"/>
        </w:rPr>
      </w:pPr>
      <w:r>
        <w:rPr>
          <w:color w:val="000000"/>
        </w:rPr>
        <w:t>2. Mọi tổ chức, cá nhân là chủ phương tiện có nhu cầu gửi trông giữ xe tại các điểm đỗ, bãi trông giữ phương tiện đều phải thực hiện nộp tiền trông giữ xe theo mức giá quy định trên.</w:t>
      </w:r>
    </w:p>
    <w:p w:rsidR="00D2075B" w:rsidRDefault="00D2075B" w:rsidP="00D2075B">
      <w:pPr>
        <w:spacing w:before="60" w:line="360" w:lineRule="atLeast"/>
        <w:ind w:firstLine="567"/>
        <w:jc w:val="both"/>
        <w:rPr>
          <w:color w:val="000000"/>
        </w:rPr>
      </w:pPr>
      <w:r>
        <w:rPr>
          <w:color w:val="000000"/>
        </w:rPr>
        <w:t>3.  Đối với học sinh, sinh viên thường xuyên gửi xe đạp, xe máy tại trường học thì tổ chức, cá nhân phải thu theo giá vé tháng.</w:t>
      </w:r>
    </w:p>
    <w:p w:rsidR="00D2075B" w:rsidRDefault="00D2075B" w:rsidP="00D2075B">
      <w:pPr>
        <w:spacing w:before="60" w:line="360" w:lineRule="atLeast"/>
        <w:ind w:firstLine="567"/>
        <w:jc w:val="both"/>
        <w:rPr>
          <w:b/>
          <w:iCs/>
        </w:rPr>
      </w:pPr>
      <w:r>
        <w:rPr>
          <w:b/>
          <w:iCs/>
        </w:rPr>
        <w:t>Điều 3. Quản lý dịch vụ trông gữi xe</w:t>
      </w:r>
    </w:p>
    <w:p w:rsidR="00D2075B" w:rsidRDefault="00D2075B" w:rsidP="00D2075B">
      <w:pPr>
        <w:spacing w:before="60" w:line="360" w:lineRule="atLeast"/>
        <w:ind w:firstLine="567"/>
        <w:jc w:val="both"/>
        <w:rPr>
          <w:shd w:val="clear" w:color="auto" w:fill="F9FAFC"/>
        </w:rPr>
      </w:pPr>
      <w:r>
        <w:rPr>
          <w:color w:val="000000"/>
        </w:rPr>
        <w:t xml:space="preserve">1. Các tổ chức, cá nhân hoạt động kinh doanh trông giữ phương tiện phải được cấp phép hoạt động </w:t>
      </w:r>
      <w:r>
        <w:t>phù hợp với quy hoạch và quy định về kết cấu hạ tầng giao thông, đô thị trên địa bàn tỉnh</w:t>
      </w:r>
      <w:r>
        <w:rPr>
          <w:shd w:val="clear" w:color="auto" w:fill="F9FAFC"/>
        </w:rPr>
        <w:t>.</w:t>
      </w:r>
    </w:p>
    <w:p w:rsidR="00D2075B" w:rsidRPr="00953A60" w:rsidRDefault="00D2075B" w:rsidP="00D2075B">
      <w:pPr>
        <w:spacing w:before="60" w:line="360" w:lineRule="atLeast"/>
        <w:ind w:firstLine="567"/>
        <w:jc w:val="both"/>
      </w:pPr>
      <w:r>
        <w:rPr>
          <w:shd w:val="clear" w:color="auto" w:fill="F9FAFC"/>
        </w:rPr>
        <w:t>2. Khoản thu được từ dịch vụ trông giữ xe là doanh thu của tổ chức, cá nhân có nghĩa vụ nộp thuế theo quy định của pháp luật, đảm bảo bù đắp chi phí đầu tư và thực hiện công tác trông giữ xe; có lợi nhuận định mức phù hợp với tình hình phát triển kinh tế của địa phương trong từng thời kỳ. Hàng năm, các tổ chức, cá nhân phải thực hiện quyết toán thuế đối với doanh thu thu được cùng với kết quả hoạt động kinh doanh khác (nếu có) với cơ quan Thuế.</w:t>
      </w:r>
    </w:p>
    <w:p w:rsidR="00D2075B" w:rsidRDefault="00D2075B" w:rsidP="00D2075B">
      <w:pPr>
        <w:spacing w:before="60" w:line="360" w:lineRule="atLeast"/>
        <w:ind w:firstLine="567"/>
        <w:jc w:val="both"/>
        <w:outlineLvl w:val="0"/>
        <w:rPr>
          <w:b/>
        </w:rPr>
      </w:pPr>
      <w:r w:rsidRPr="007D3A48">
        <w:rPr>
          <w:b/>
        </w:rPr>
        <w:t xml:space="preserve">Điều </w:t>
      </w:r>
      <w:r>
        <w:rPr>
          <w:b/>
        </w:rPr>
        <w:t>4. Tổ chức thực hiện</w:t>
      </w:r>
    </w:p>
    <w:p w:rsidR="00D2075B" w:rsidRDefault="00D2075B" w:rsidP="00D2075B">
      <w:pPr>
        <w:spacing w:before="60" w:line="360" w:lineRule="atLeast"/>
        <w:ind w:firstLine="567"/>
        <w:jc w:val="both"/>
        <w:outlineLvl w:val="0"/>
      </w:pPr>
      <w:r>
        <w:t>1. Sở Tài chính, phòng Tài chính - Kế hoạch chủ trì, phối hợp với các cơ quan liên quan định kỳ hoặc đột xuất kiểm tra việc thực hiện giá dịch vụ trông giữ xe của các tổ chức, cá nhân trông giữ xe trên địa bàn.</w:t>
      </w:r>
    </w:p>
    <w:p w:rsidR="00D2075B" w:rsidRDefault="00D2075B" w:rsidP="00D2075B">
      <w:pPr>
        <w:spacing w:before="60" w:line="360" w:lineRule="atLeast"/>
        <w:ind w:firstLine="567"/>
        <w:jc w:val="both"/>
        <w:outlineLvl w:val="0"/>
      </w:pPr>
      <w:r>
        <w:t>2. Cơ quan Thuế phối hợp với chính quyền địa phương các cấp, thường xuyên kiểm tra, rà soát việc chấp hành các quy định về pháp luật về thuế; hướng dẫn các tổ chức, cá nhân kê khai nộp thuế, quyết toán thuế đối với doanh thu thu được theo quy định của Luật Quan lý Thuế.</w:t>
      </w:r>
    </w:p>
    <w:p w:rsidR="00D2075B" w:rsidRDefault="00D2075B" w:rsidP="00D2075B">
      <w:pPr>
        <w:spacing w:before="60" w:line="360" w:lineRule="atLeast"/>
        <w:ind w:firstLine="567"/>
        <w:jc w:val="both"/>
        <w:outlineLvl w:val="0"/>
      </w:pPr>
      <w:r>
        <w:t>3. Ủy ban nhân dân các huyện, thành phố Bắc Giang (sau đây gọi là UBND cấp huyện) căn cứ kết cấu hạ tầng giao thông, đô thị của từng địa phương quy hoạch các điểm trông giữ xe cho phù hợp với điều kiện thực tế, để cấp phép hoạt động cho các tổ chức, cá nhân được phép trông giữ xe.</w:t>
      </w:r>
    </w:p>
    <w:p w:rsidR="00D2075B" w:rsidRDefault="00D2075B" w:rsidP="00D2075B">
      <w:pPr>
        <w:spacing w:before="60" w:line="360" w:lineRule="atLeast"/>
        <w:ind w:firstLine="567"/>
        <w:jc w:val="both"/>
        <w:outlineLvl w:val="0"/>
      </w:pPr>
      <w:r>
        <w:t>Chỉ đạo Ủy ban nhân dân các xã, phường, thị trấn thường xuyên giám sát việc thực hiện mức giá trông giữ xe và thực hiện nghĩa vụ tài chính với ngân sách nhà  nước trên địa bàn theo đúng quy định; chỉ đạo phòng, ban có chức năng kiểm tra, giám sát, tổng hợp tình hình thực hiện chính sách liên quan đến giá dịch vụ trông giữ xe. Thực hiện báo cáo đinh kỳ theo quy định về Sở Tài chính để tổng hợp báo cáo Ủy ban nhân dân tỉnh.</w:t>
      </w:r>
    </w:p>
    <w:p w:rsidR="00D2075B" w:rsidRPr="00A94FF7" w:rsidRDefault="00D2075B" w:rsidP="00D2075B">
      <w:pPr>
        <w:spacing w:before="60" w:line="360" w:lineRule="atLeast"/>
        <w:ind w:firstLine="567"/>
        <w:jc w:val="both"/>
        <w:outlineLvl w:val="0"/>
      </w:pPr>
      <w:r>
        <w:lastRenderedPageBreak/>
        <w:t>Đối với điểm đỗ, bãi trông giữ xe được đầu tư bằng nguồn vốn ngân sách nhà nước: Giao UBND cấp huyện, các cơ quan thuộc tỉnh lập dự toán thu, chi làm cơ sở giao khoản cho tổ chức, cá nhân thu tiền dịch vụ trông giữ xe theo hình thức đấu thầu.</w:t>
      </w:r>
    </w:p>
    <w:p w:rsidR="00D2075B" w:rsidRPr="00A94FF7" w:rsidRDefault="00D2075B" w:rsidP="00D2075B">
      <w:pPr>
        <w:spacing w:before="60" w:line="360" w:lineRule="atLeast"/>
        <w:ind w:firstLine="567"/>
        <w:jc w:val="both"/>
        <w:outlineLvl w:val="0"/>
      </w:pPr>
      <w:r>
        <w:t>Đối với điểm đỗ, bãi trông giữ xe được đầu tư bằng nguồn vốn ngoài ngân sách nhà nước: Căn cứ mức thu tối đa quy định tại Điều 1, Quyết định này, Chủ đầu tư phê duyệt giá cụ thể dịch vụ trông giữ xe, báo cáo UBND cấp huyện và Sở Tài chính để giáp sát thực hiện.</w:t>
      </w:r>
    </w:p>
    <w:p w:rsidR="00D2075B" w:rsidRDefault="00D2075B" w:rsidP="00D2075B">
      <w:pPr>
        <w:spacing w:before="60" w:line="360" w:lineRule="atLeast"/>
        <w:ind w:firstLine="567"/>
        <w:jc w:val="both"/>
        <w:rPr>
          <w:lang w:val="nl-NL"/>
        </w:rPr>
      </w:pPr>
      <w:r>
        <w:rPr>
          <w:lang w:val="nl-NL"/>
        </w:rPr>
        <w:t>4</w:t>
      </w:r>
      <w:r w:rsidRPr="001F3D12">
        <w:rPr>
          <w:lang w:val="nl-NL"/>
        </w:rPr>
        <w:t>. Thủ trư</w:t>
      </w:r>
      <w:r>
        <w:rPr>
          <w:lang w:val="nl-NL"/>
        </w:rPr>
        <w:t>ởng các cơ quan thuộc Ủy ban nhân dân tỉnh;</w:t>
      </w:r>
      <w:r w:rsidRPr="001F3D12">
        <w:rPr>
          <w:lang w:val="nl-NL"/>
        </w:rPr>
        <w:t xml:space="preserve"> U</w:t>
      </w:r>
      <w:r>
        <w:rPr>
          <w:lang w:val="nl-NL"/>
        </w:rPr>
        <w:t>ỷ ban nhân dân</w:t>
      </w:r>
      <w:r w:rsidRPr="001F3D12">
        <w:rPr>
          <w:lang w:val="nl-NL"/>
        </w:rPr>
        <w:t xml:space="preserve"> các huyện, thành phố và các tổ chức, cá nhân có liên quan căn cứ Quyết định thi hành</w:t>
      </w:r>
      <w:r>
        <w:rPr>
          <w:lang w:val="nl-NL"/>
        </w:rPr>
        <w:t>.</w:t>
      </w:r>
    </w:p>
    <w:p w:rsidR="00D2075B" w:rsidRDefault="00D2075B" w:rsidP="00D2075B">
      <w:pPr>
        <w:spacing w:before="60" w:line="360" w:lineRule="atLeast"/>
        <w:ind w:firstLine="567"/>
        <w:jc w:val="both"/>
        <w:rPr>
          <w:iCs/>
        </w:rPr>
      </w:pPr>
      <w:r>
        <w:rPr>
          <w:iCs/>
        </w:rPr>
        <w:t>5. Trong quá trình thực hiện, nếu có khó khăn, vướng mắc, các cơ quan, đơn vị kịp thời phản ánh về Sở Tài chính để tổng hợp, trình Ủy ban nhân dân tỉnh quyết định sửa đổi bổ sung cho phù hợp.</w:t>
      </w:r>
    </w:p>
    <w:p w:rsidR="00D2075B" w:rsidRPr="008E4AE4" w:rsidRDefault="00D2075B" w:rsidP="00D2075B">
      <w:pPr>
        <w:spacing w:before="60" w:line="360" w:lineRule="atLeast"/>
        <w:ind w:firstLine="567"/>
        <w:jc w:val="both"/>
        <w:outlineLvl w:val="0"/>
        <w:rPr>
          <w:b/>
          <w:iCs/>
        </w:rPr>
      </w:pPr>
      <w:r w:rsidRPr="008E4AE4">
        <w:rPr>
          <w:b/>
          <w:iCs/>
        </w:rPr>
        <w:t xml:space="preserve">Điều </w:t>
      </w:r>
      <w:r>
        <w:rPr>
          <w:b/>
          <w:iCs/>
        </w:rPr>
        <w:t>5</w:t>
      </w:r>
      <w:r w:rsidRPr="008E4AE4">
        <w:rPr>
          <w:b/>
          <w:iCs/>
        </w:rPr>
        <w:t xml:space="preserve">. </w:t>
      </w:r>
      <w:r>
        <w:rPr>
          <w:b/>
          <w:iCs/>
        </w:rPr>
        <w:t>Hiệu lực thi hành</w:t>
      </w:r>
    </w:p>
    <w:p w:rsidR="00D2075B" w:rsidRDefault="00D2075B" w:rsidP="00D2075B">
      <w:pPr>
        <w:spacing w:before="60" w:line="360" w:lineRule="atLeast"/>
        <w:ind w:firstLine="567"/>
        <w:jc w:val="both"/>
        <w:rPr>
          <w:lang w:val="nl-NL"/>
        </w:rPr>
      </w:pPr>
      <w:r w:rsidRPr="001F3D12">
        <w:rPr>
          <w:lang w:val="nl-NL"/>
        </w:rPr>
        <w:t xml:space="preserve">Quyết định này có hiệu lực thi hành kể từ </w:t>
      </w:r>
      <w:r>
        <w:rPr>
          <w:lang w:val="nl-NL"/>
        </w:rPr>
        <w:t>ngày    tháng 3 năm 2017</w:t>
      </w:r>
      <w:r w:rsidRPr="001F3D12">
        <w:rPr>
          <w:lang w:val="nl-NL"/>
        </w:rPr>
        <w:t>.</w:t>
      </w:r>
      <w:r>
        <w:rPr>
          <w:lang w:val="nl-NL"/>
        </w:rPr>
        <w:t>/.</w:t>
      </w:r>
    </w:p>
    <w:p w:rsidR="00D2075B" w:rsidRDefault="00D2075B" w:rsidP="00D2075B">
      <w:pPr>
        <w:spacing w:before="60" w:line="360" w:lineRule="atLeast"/>
        <w:ind w:firstLine="567"/>
        <w:jc w:val="both"/>
        <w:rPr>
          <w:lang w:val="nl-NL"/>
        </w:rPr>
      </w:pPr>
      <w:r w:rsidRPr="001F3D12">
        <w:rPr>
          <w:lang w:val="nl-NL"/>
        </w:rPr>
        <w:t xml:space="preserve"> </w:t>
      </w:r>
    </w:p>
    <w:tbl>
      <w:tblPr>
        <w:tblW w:w="0" w:type="auto"/>
        <w:tblLook w:val="01E0"/>
      </w:tblPr>
      <w:tblGrid>
        <w:gridCol w:w="4644"/>
        <w:gridCol w:w="4644"/>
      </w:tblGrid>
      <w:tr w:rsidR="00D2075B" w:rsidTr="00532829">
        <w:tc>
          <w:tcPr>
            <w:tcW w:w="4644" w:type="dxa"/>
          </w:tcPr>
          <w:p w:rsidR="00D2075B" w:rsidRPr="00B66310" w:rsidRDefault="00D2075B" w:rsidP="00532829">
            <w:pPr>
              <w:spacing w:before="60"/>
              <w:rPr>
                <w:i/>
                <w:lang w:val="nl-NL"/>
              </w:rPr>
            </w:pPr>
            <w:r w:rsidRPr="00B66310">
              <w:rPr>
                <w:b/>
                <w:i/>
                <w:lang w:val="nl-NL"/>
              </w:rPr>
              <w:t>Nơi nhận:</w:t>
            </w:r>
          </w:p>
          <w:p w:rsidR="00D2075B" w:rsidRPr="00B66310" w:rsidRDefault="00D2075B" w:rsidP="00532829">
            <w:pPr>
              <w:spacing w:before="60"/>
              <w:rPr>
                <w:sz w:val="22"/>
                <w:szCs w:val="22"/>
                <w:lang w:val="nl-NL"/>
              </w:rPr>
            </w:pPr>
            <w:r w:rsidRPr="00B66310">
              <w:rPr>
                <w:sz w:val="22"/>
                <w:szCs w:val="22"/>
                <w:lang w:val="nl-NL"/>
              </w:rPr>
              <w:t xml:space="preserve">- Như Điều </w:t>
            </w:r>
            <w:r>
              <w:rPr>
                <w:sz w:val="22"/>
                <w:szCs w:val="22"/>
                <w:lang w:val="nl-NL"/>
              </w:rPr>
              <w:t>4</w:t>
            </w:r>
            <w:r w:rsidRPr="00B66310">
              <w:rPr>
                <w:sz w:val="22"/>
                <w:szCs w:val="22"/>
                <w:lang w:val="nl-NL"/>
              </w:rPr>
              <w:t>;</w:t>
            </w:r>
          </w:p>
          <w:p w:rsidR="00D2075B" w:rsidRPr="00B66310" w:rsidRDefault="00D2075B" w:rsidP="00532829">
            <w:pPr>
              <w:spacing w:before="60"/>
              <w:rPr>
                <w:sz w:val="22"/>
                <w:szCs w:val="22"/>
                <w:lang w:val="nl-NL"/>
              </w:rPr>
            </w:pPr>
            <w:r w:rsidRPr="00B66310">
              <w:rPr>
                <w:sz w:val="22"/>
                <w:szCs w:val="22"/>
                <w:lang w:val="nl-NL"/>
              </w:rPr>
              <w:t>- Văn phòng Chính phủ(b/c);</w:t>
            </w:r>
          </w:p>
          <w:p w:rsidR="00D2075B" w:rsidRPr="00B66310" w:rsidRDefault="00D2075B" w:rsidP="00532829">
            <w:pPr>
              <w:spacing w:before="60"/>
              <w:rPr>
                <w:spacing w:val="-6"/>
                <w:sz w:val="22"/>
                <w:szCs w:val="22"/>
                <w:lang w:val="nl-NL"/>
              </w:rPr>
            </w:pPr>
            <w:r w:rsidRPr="00B66310">
              <w:rPr>
                <w:spacing w:val="-6"/>
                <w:sz w:val="22"/>
                <w:szCs w:val="22"/>
                <w:lang w:val="nl-NL"/>
              </w:rPr>
              <w:t>- Bộ Tài Chính - Cục Quản lý Công sản, Cục Quản lý Giá; Bộ Tư pháp - Cục Kiểm tra VB QPPL;</w:t>
            </w:r>
          </w:p>
          <w:p w:rsidR="00D2075B" w:rsidRPr="00B66310" w:rsidRDefault="00D2075B" w:rsidP="00532829">
            <w:pPr>
              <w:spacing w:before="60"/>
              <w:rPr>
                <w:spacing w:val="-6"/>
                <w:sz w:val="22"/>
                <w:szCs w:val="22"/>
                <w:lang w:val="nl-NL"/>
              </w:rPr>
            </w:pPr>
            <w:r w:rsidRPr="00B66310">
              <w:rPr>
                <w:spacing w:val="-6"/>
                <w:sz w:val="22"/>
                <w:szCs w:val="22"/>
                <w:lang w:val="nl-NL"/>
              </w:rPr>
              <w:t>- Đoàn Đại biểu Quốc hội tỉnh Bắc Giang;</w:t>
            </w:r>
          </w:p>
          <w:p w:rsidR="00D2075B" w:rsidRPr="00B66310" w:rsidRDefault="00D2075B" w:rsidP="00532829">
            <w:pPr>
              <w:spacing w:before="60"/>
              <w:rPr>
                <w:sz w:val="22"/>
                <w:szCs w:val="22"/>
                <w:lang w:val="nl-NL"/>
              </w:rPr>
            </w:pPr>
            <w:r w:rsidRPr="00B66310">
              <w:rPr>
                <w:sz w:val="22"/>
                <w:szCs w:val="22"/>
                <w:lang w:val="nl-NL"/>
              </w:rPr>
              <w:t>- TT Tỉnh uỷ, TT HĐND tỉnh;</w:t>
            </w:r>
          </w:p>
          <w:p w:rsidR="00D2075B" w:rsidRPr="00B66310" w:rsidRDefault="00D2075B" w:rsidP="00532829">
            <w:pPr>
              <w:spacing w:before="60"/>
              <w:rPr>
                <w:sz w:val="22"/>
                <w:szCs w:val="22"/>
                <w:lang w:val="nl-NL"/>
              </w:rPr>
            </w:pPr>
            <w:r w:rsidRPr="00B66310">
              <w:rPr>
                <w:sz w:val="22"/>
                <w:szCs w:val="22"/>
                <w:lang w:val="nl-NL"/>
              </w:rPr>
              <w:t>- CT, các PCT UBND tỉnh;</w:t>
            </w:r>
          </w:p>
          <w:p w:rsidR="00D2075B" w:rsidRPr="00B66310" w:rsidRDefault="00D2075B" w:rsidP="00532829">
            <w:pPr>
              <w:spacing w:before="60"/>
              <w:rPr>
                <w:sz w:val="22"/>
                <w:szCs w:val="22"/>
                <w:lang w:val="nl-NL"/>
              </w:rPr>
            </w:pPr>
            <w:r w:rsidRPr="00B66310">
              <w:rPr>
                <w:sz w:val="22"/>
                <w:szCs w:val="22"/>
                <w:lang w:val="nl-NL"/>
              </w:rPr>
              <w:t>- Các ban, cơ quan thuộc Tỉnh ủy;</w:t>
            </w:r>
          </w:p>
          <w:p w:rsidR="00D2075B" w:rsidRPr="00B66310" w:rsidRDefault="00D2075B" w:rsidP="00532829">
            <w:pPr>
              <w:spacing w:before="60"/>
              <w:rPr>
                <w:sz w:val="22"/>
                <w:szCs w:val="22"/>
                <w:lang w:val="nl-NL"/>
              </w:rPr>
            </w:pPr>
            <w:r w:rsidRPr="00B66310">
              <w:rPr>
                <w:sz w:val="22"/>
                <w:szCs w:val="22"/>
                <w:lang w:val="nl-NL"/>
              </w:rPr>
              <w:t>- MTTQ và các tổ chức đoàn thể cấp tỉnh</w:t>
            </w:r>
          </w:p>
          <w:p w:rsidR="00D2075B" w:rsidRPr="00B66310" w:rsidRDefault="00D2075B" w:rsidP="00532829">
            <w:pPr>
              <w:spacing w:before="60"/>
              <w:rPr>
                <w:sz w:val="22"/>
                <w:szCs w:val="22"/>
                <w:lang w:val="nl-NL"/>
              </w:rPr>
            </w:pPr>
            <w:r w:rsidRPr="00B66310">
              <w:rPr>
                <w:sz w:val="22"/>
                <w:szCs w:val="22"/>
                <w:lang w:val="nl-NL"/>
              </w:rPr>
              <w:t>- VPHĐND tỉnh; các Ban của HĐND tỉnh;</w:t>
            </w:r>
          </w:p>
          <w:p w:rsidR="00D2075B" w:rsidRPr="00B66310" w:rsidRDefault="00D2075B" w:rsidP="00532829">
            <w:pPr>
              <w:spacing w:before="60"/>
              <w:rPr>
                <w:sz w:val="22"/>
                <w:szCs w:val="22"/>
                <w:lang w:val="nl-NL"/>
              </w:rPr>
            </w:pPr>
            <w:r w:rsidRPr="00B66310">
              <w:rPr>
                <w:sz w:val="22"/>
                <w:szCs w:val="22"/>
                <w:lang w:val="nl-NL"/>
              </w:rPr>
              <w:t>- L</w:t>
            </w:r>
            <w:r w:rsidRPr="00B66310">
              <w:rPr>
                <w:rFonts w:hint="eastAsia"/>
                <w:sz w:val="22"/>
                <w:szCs w:val="22"/>
                <w:lang w:val="nl-NL"/>
              </w:rPr>
              <w:t>Đ</w:t>
            </w:r>
            <w:r w:rsidRPr="00B66310">
              <w:rPr>
                <w:sz w:val="22"/>
                <w:szCs w:val="22"/>
                <w:lang w:val="nl-NL"/>
              </w:rPr>
              <w:t>VP;</w:t>
            </w:r>
          </w:p>
          <w:p w:rsidR="00D2075B" w:rsidRPr="00BB531A" w:rsidRDefault="00D2075B" w:rsidP="00532829">
            <w:pPr>
              <w:spacing w:before="60"/>
              <w:jc w:val="both"/>
            </w:pPr>
            <w:r w:rsidRPr="00B66310">
              <w:rPr>
                <w:sz w:val="22"/>
                <w:szCs w:val="22"/>
                <w:lang w:val="nl-NL"/>
              </w:rPr>
              <w:t>- Lưu VT, KT./.</w:t>
            </w:r>
          </w:p>
        </w:tc>
        <w:tc>
          <w:tcPr>
            <w:tcW w:w="4644" w:type="dxa"/>
          </w:tcPr>
          <w:p w:rsidR="00D2075B" w:rsidRPr="00B66310" w:rsidRDefault="00D2075B" w:rsidP="00532829">
            <w:pPr>
              <w:jc w:val="center"/>
              <w:rPr>
                <w:b/>
                <w:sz w:val="26"/>
              </w:rPr>
            </w:pPr>
            <w:r w:rsidRPr="00B66310">
              <w:rPr>
                <w:b/>
                <w:sz w:val="26"/>
              </w:rPr>
              <w:t>TM. UỶ BAN NHÂN DÂN</w:t>
            </w:r>
          </w:p>
          <w:p w:rsidR="00D2075B" w:rsidRDefault="00D2075B" w:rsidP="00532829">
            <w:pPr>
              <w:jc w:val="center"/>
              <w:rPr>
                <w:b/>
                <w:sz w:val="26"/>
              </w:rPr>
            </w:pPr>
            <w:r>
              <w:rPr>
                <w:b/>
                <w:sz w:val="26"/>
              </w:rPr>
              <w:t xml:space="preserve">KT. </w:t>
            </w:r>
            <w:r w:rsidRPr="00B66310">
              <w:rPr>
                <w:b/>
                <w:sz w:val="26"/>
              </w:rPr>
              <w:t>CHỦ TỊCH</w:t>
            </w:r>
          </w:p>
          <w:p w:rsidR="00D2075B" w:rsidRPr="00B66310" w:rsidRDefault="00D2075B" w:rsidP="00532829">
            <w:pPr>
              <w:jc w:val="center"/>
              <w:rPr>
                <w:b/>
                <w:sz w:val="26"/>
              </w:rPr>
            </w:pPr>
            <w:r>
              <w:rPr>
                <w:b/>
                <w:sz w:val="26"/>
              </w:rPr>
              <w:t>PHÓ CHỦ TỊCH</w:t>
            </w:r>
          </w:p>
          <w:p w:rsidR="00D2075B" w:rsidRPr="00B66310" w:rsidRDefault="00D2075B" w:rsidP="00532829">
            <w:pPr>
              <w:jc w:val="center"/>
              <w:rPr>
                <w:b/>
                <w:sz w:val="26"/>
              </w:rPr>
            </w:pPr>
          </w:p>
          <w:p w:rsidR="00D2075B" w:rsidRPr="00B66310" w:rsidRDefault="00D2075B" w:rsidP="00532829">
            <w:pPr>
              <w:jc w:val="center"/>
              <w:rPr>
                <w:b/>
                <w:i/>
              </w:rPr>
            </w:pPr>
          </w:p>
          <w:p w:rsidR="00D2075B" w:rsidRPr="00B66310" w:rsidRDefault="00D2075B" w:rsidP="00532829">
            <w:pPr>
              <w:jc w:val="center"/>
              <w:rPr>
                <w:b/>
                <w:i/>
              </w:rPr>
            </w:pPr>
          </w:p>
          <w:p w:rsidR="00D2075B" w:rsidRPr="00B66310" w:rsidRDefault="00D2075B" w:rsidP="00532829">
            <w:pPr>
              <w:jc w:val="center"/>
              <w:rPr>
                <w:i/>
              </w:rPr>
            </w:pPr>
          </w:p>
          <w:p w:rsidR="00D2075B" w:rsidRDefault="00D2075B" w:rsidP="00532829">
            <w:pPr>
              <w:spacing w:before="120" w:after="120" w:line="320" w:lineRule="exact"/>
              <w:jc w:val="center"/>
            </w:pPr>
            <w:r w:rsidRPr="00B66310">
              <w:rPr>
                <w:b/>
              </w:rPr>
              <w:t xml:space="preserve">Nguyễn </w:t>
            </w:r>
            <w:r>
              <w:rPr>
                <w:b/>
              </w:rPr>
              <w:t>Thị Thu Hà</w:t>
            </w:r>
          </w:p>
        </w:tc>
      </w:tr>
    </w:tbl>
    <w:p w:rsidR="00D2075B" w:rsidRDefault="00D2075B" w:rsidP="00D2075B">
      <w:pPr>
        <w:spacing w:before="60" w:line="360" w:lineRule="atLeast"/>
        <w:ind w:firstLine="567"/>
        <w:jc w:val="both"/>
        <w:rPr>
          <w:lang w:val="nl-NL"/>
        </w:rPr>
      </w:pPr>
    </w:p>
    <w:p w:rsidR="00D2075B" w:rsidRDefault="00D2075B" w:rsidP="00D2075B">
      <w:pPr>
        <w:spacing w:before="60" w:line="360" w:lineRule="atLeast"/>
        <w:ind w:firstLine="567"/>
        <w:jc w:val="both"/>
        <w:rPr>
          <w:lang w:val="nl-NL"/>
        </w:rPr>
      </w:pPr>
    </w:p>
    <w:p w:rsidR="00D2075B" w:rsidRDefault="00D2075B" w:rsidP="00D2075B">
      <w:pPr>
        <w:spacing w:before="60" w:line="360" w:lineRule="atLeast"/>
        <w:ind w:firstLine="567"/>
        <w:jc w:val="both"/>
        <w:rPr>
          <w:lang w:val="nl-NL"/>
        </w:rPr>
      </w:pPr>
    </w:p>
    <w:p w:rsidR="00D2075B" w:rsidRDefault="00D2075B" w:rsidP="00D2075B">
      <w:pPr>
        <w:spacing w:before="60" w:line="360" w:lineRule="atLeast"/>
        <w:ind w:firstLine="567"/>
        <w:jc w:val="both"/>
        <w:rPr>
          <w:lang w:val="nl-NL"/>
        </w:rPr>
      </w:pPr>
    </w:p>
    <w:p w:rsidR="00D2075B" w:rsidRDefault="00D2075B" w:rsidP="00D2075B">
      <w:pPr>
        <w:spacing w:before="60" w:line="360" w:lineRule="atLeast"/>
        <w:ind w:firstLine="567"/>
        <w:jc w:val="both"/>
        <w:rPr>
          <w:lang w:val="nl-NL"/>
        </w:rPr>
      </w:pPr>
    </w:p>
    <w:p w:rsidR="00D2075B" w:rsidRDefault="00D2075B" w:rsidP="00D2075B">
      <w:pPr>
        <w:spacing w:before="60" w:line="360" w:lineRule="atLeast"/>
        <w:ind w:firstLine="567"/>
        <w:jc w:val="both"/>
        <w:rPr>
          <w:lang w:val="nl-NL"/>
        </w:rPr>
      </w:pPr>
    </w:p>
    <w:p w:rsidR="00D2075B" w:rsidRDefault="00D2075B" w:rsidP="00D2075B">
      <w:pPr>
        <w:spacing w:before="60" w:line="360" w:lineRule="atLeast"/>
        <w:ind w:firstLine="567"/>
        <w:jc w:val="both"/>
        <w:rPr>
          <w:lang w:val="nl-NL"/>
        </w:rPr>
      </w:pPr>
    </w:p>
    <w:p w:rsidR="00D2075B" w:rsidRDefault="00D2075B" w:rsidP="00D2075B">
      <w:pPr>
        <w:spacing w:before="60" w:line="360" w:lineRule="atLeast"/>
        <w:ind w:firstLine="567"/>
        <w:jc w:val="both"/>
        <w:rPr>
          <w:lang w:val="nl-NL"/>
        </w:rPr>
      </w:pPr>
    </w:p>
    <w:p w:rsidR="00D2075B" w:rsidRDefault="00D2075B" w:rsidP="00D2075B">
      <w:pPr>
        <w:spacing w:before="60" w:line="360" w:lineRule="atLeast"/>
        <w:ind w:firstLine="567"/>
        <w:jc w:val="both"/>
        <w:rPr>
          <w:lang w:val="nl-NL"/>
        </w:rPr>
      </w:pPr>
    </w:p>
    <w:p w:rsidR="00D2075B" w:rsidRDefault="00D2075B" w:rsidP="00D2075B">
      <w:pPr>
        <w:jc w:val="center"/>
        <w:rPr>
          <w:b/>
          <w:sz w:val="26"/>
          <w:szCs w:val="26"/>
          <w:lang w:val="nl-NL"/>
        </w:rPr>
      </w:pPr>
    </w:p>
    <w:p w:rsidR="00D2075B" w:rsidRDefault="00D2075B" w:rsidP="00D2075B">
      <w:pPr>
        <w:jc w:val="center"/>
        <w:rPr>
          <w:b/>
          <w:bCs/>
          <w:spacing w:val="-4"/>
          <w:sz w:val="26"/>
          <w:szCs w:val="26"/>
        </w:rPr>
      </w:pPr>
      <w:r>
        <w:rPr>
          <w:b/>
          <w:sz w:val="26"/>
          <w:szCs w:val="26"/>
          <w:lang w:val="nl-NL"/>
        </w:rPr>
        <w:lastRenderedPageBreak/>
        <w:t xml:space="preserve">GIÁ DỊCH VỤ TRÔNG GIỮ XE TẠI CÁC ĐIỂM ĐỖ, BÃI TRÔNG XE </w:t>
      </w:r>
      <w:r>
        <w:rPr>
          <w:b/>
          <w:bCs/>
          <w:spacing w:val="-4"/>
          <w:sz w:val="26"/>
          <w:szCs w:val="26"/>
        </w:rPr>
        <w:t>ĐƯỢC ĐẦU TƯ BẰNG NGUỒN VỐN NGÂN SÁCH NHÀ NƯỚC</w:t>
      </w:r>
    </w:p>
    <w:p w:rsidR="00D2075B" w:rsidRDefault="00D2075B" w:rsidP="00D2075B">
      <w:pPr>
        <w:jc w:val="center"/>
        <w:rPr>
          <w:b/>
          <w:sz w:val="26"/>
          <w:szCs w:val="26"/>
          <w:lang w:val="nl-NL"/>
        </w:rPr>
      </w:pPr>
      <w:r>
        <w:rPr>
          <w:b/>
          <w:sz w:val="26"/>
          <w:szCs w:val="26"/>
          <w:lang w:val="nl-NL"/>
        </w:rPr>
        <w:t>TRÊN ĐỊA BÀN TỈNH BẮC GIANG</w:t>
      </w:r>
    </w:p>
    <w:p w:rsidR="00D2075B" w:rsidRDefault="00D2075B" w:rsidP="00D2075B">
      <w:pPr>
        <w:shd w:val="clear" w:color="auto" w:fill="FFFFFF"/>
        <w:spacing w:before="120" w:after="120" w:line="208" w:lineRule="atLeast"/>
        <w:jc w:val="center"/>
        <w:rPr>
          <w:i/>
          <w:iCs/>
          <w:color w:val="000000"/>
          <w:lang w:val="es-ES"/>
        </w:rPr>
      </w:pPr>
      <w:r>
        <w:rPr>
          <w:i/>
          <w:iCs/>
          <w:color w:val="000000"/>
          <w:lang w:val="es-ES"/>
        </w:rPr>
        <w:t>(Kèm theo Quyết định số    /2017/QĐ-UBND ngày     /3/2017 của Ủy ban nhân dân tỉnh Bắc Giang)</w:t>
      </w:r>
    </w:p>
    <w:tbl>
      <w:tblPr>
        <w:tblW w:w="9334" w:type="dxa"/>
        <w:tblInd w:w="-12" w:type="dxa"/>
        <w:tblLook w:val="04A0"/>
      </w:tblPr>
      <w:tblGrid>
        <w:gridCol w:w="677"/>
        <w:gridCol w:w="5130"/>
        <w:gridCol w:w="1881"/>
        <w:gridCol w:w="1646"/>
      </w:tblGrid>
      <w:tr w:rsidR="00D2075B" w:rsidTr="00532829">
        <w:trPr>
          <w:trHeight w:val="624"/>
        </w:trPr>
        <w:tc>
          <w:tcPr>
            <w:tcW w:w="6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line="276" w:lineRule="auto"/>
              <w:jc w:val="center"/>
              <w:rPr>
                <w:b/>
                <w:bCs/>
                <w:color w:val="000000"/>
                <w:sz w:val="24"/>
                <w:szCs w:val="24"/>
              </w:rPr>
            </w:pPr>
            <w:r>
              <w:rPr>
                <w:b/>
                <w:bCs/>
                <w:color w:val="000000"/>
              </w:rPr>
              <w:t>Số TT</w:t>
            </w:r>
          </w:p>
        </w:tc>
        <w:tc>
          <w:tcPr>
            <w:tcW w:w="51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line="276" w:lineRule="auto"/>
              <w:jc w:val="center"/>
              <w:rPr>
                <w:b/>
                <w:bCs/>
                <w:color w:val="000000"/>
                <w:sz w:val="24"/>
                <w:szCs w:val="24"/>
              </w:rPr>
            </w:pPr>
            <w:r>
              <w:rPr>
                <w:b/>
                <w:bCs/>
                <w:color w:val="000000"/>
              </w:rPr>
              <w:t>Danh mục</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line="276" w:lineRule="auto"/>
              <w:jc w:val="center"/>
              <w:rPr>
                <w:b/>
                <w:bCs/>
                <w:color w:val="000000"/>
                <w:sz w:val="24"/>
                <w:szCs w:val="24"/>
              </w:rPr>
            </w:pPr>
            <w:r>
              <w:rPr>
                <w:b/>
                <w:bCs/>
                <w:color w:val="000000"/>
              </w:rPr>
              <w:t>Đơn vị tính</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line="276" w:lineRule="auto"/>
              <w:jc w:val="center"/>
              <w:rPr>
                <w:b/>
                <w:bCs/>
                <w:color w:val="000000"/>
                <w:sz w:val="24"/>
                <w:szCs w:val="24"/>
              </w:rPr>
            </w:pPr>
            <w:r>
              <w:rPr>
                <w:b/>
                <w:bCs/>
                <w:color w:val="000000"/>
              </w:rPr>
              <w:t xml:space="preserve">Mức thu </w:t>
            </w:r>
          </w:p>
        </w:tc>
      </w:tr>
      <w:tr w:rsidR="00D2075B" w:rsidTr="0053282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75B" w:rsidRDefault="00D2075B" w:rsidP="00532829">
            <w:pPr>
              <w:rPr>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75B" w:rsidRDefault="00D2075B" w:rsidP="00532829">
            <w:pPr>
              <w:rPr>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75B" w:rsidRDefault="00D2075B" w:rsidP="00532829">
            <w:pPr>
              <w:rPr>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75B" w:rsidRDefault="00D2075B" w:rsidP="00532829">
            <w:pPr>
              <w:rPr>
                <w:b/>
                <w:bCs/>
                <w:color w:val="000000"/>
                <w:sz w:val="24"/>
                <w:szCs w:val="24"/>
              </w:rPr>
            </w:pPr>
          </w:p>
        </w:tc>
      </w:tr>
      <w:tr w:rsidR="00D2075B" w:rsidTr="00532829">
        <w:trPr>
          <w:trHeight w:val="756"/>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line="276" w:lineRule="auto"/>
              <w:jc w:val="center"/>
              <w:rPr>
                <w:b/>
                <w:bCs/>
                <w:color w:val="000000"/>
                <w:sz w:val="24"/>
                <w:szCs w:val="24"/>
              </w:rPr>
            </w:pPr>
            <w:r>
              <w:rPr>
                <w:b/>
                <w:bCs/>
                <w:color w:val="000000"/>
              </w:rPr>
              <w:t>A</w:t>
            </w:r>
          </w:p>
        </w:tc>
        <w:tc>
          <w:tcPr>
            <w:tcW w:w="8657" w:type="dxa"/>
            <w:gridSpan w:val="3"/>
            <w:tcBorders>
              <w:top w:val="single" w:sz="4" w:space="0" w:color="auto"/>
              <w:left w:val="nil"/>
              <w:bottom w:val="single" w:sz="4" w:space="0" w:color="auto"/>
              <w:right w:val="single" w:sz="4" w:space="0" w:color="auto"/>
            </w:tcBorders>
            <w:shd w:val="clear" w:color="auto" w:fill="FFFFFF"/>
            <w:vAlign w:val="center"/>
            <w:hideMark/>
          </w:tcPr>
          <w:p w:rsidR="00D2075B" w:rsidRDefault="00D2075B" w:rsidP="00532829">
            <w:pPr>
              <w:spacing w:line="276" w:lineRule="auto"/>
              <w:jc w:val="both"/>
              <w:rPr>
                <w:b/>
                <w:bCs/>
                <w:color w:val="000000"/>
                <w:sz w:val="24"/>
                <w:szCs w:val="24"/>
              </w:rPr>
            </w:pPr>
            <w:r>
              <w:rPr>
                <w:b/>
                <w:bCs/>
                <w:color w:val="000000"/>
              </w:rPr>
              <w:t xml:space="preserve">Giá dịch vụ trông giữ xe đạp, xe gắn máy, xe mô tô, xe ô tô trả theo lượt ban ngày </w:t>
            </w:r>
            <w:r>
              <w:rPr>
                <w:b/>
                <w:bCs/>
                <w:i/>
                <w:iCs/>
                <w:color w:val="000000"/>
              </w:rPr>
              <w:t>(từ 6 giờ 00 phút đến 18 giờ 00 phút)</w:t>
            </w:r>
          </w:p>
        </w:tc>
      </w:tr>
      <w:tr w:rsidR="00D2075B" w:rsidTr="00532829">
        <w:trPr>
          <w:trHeight w:val="691"/>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line="276" w:lineRule="auto"/>
              <w:jc w:val="center"/>
              <w:rPr>
                <w:b/>
                <w:bCs/>
                <w:color w:val="000000"/>
                <w:sz w:val="24"/>
                <w:szCs w:val="24"/>
              </w:rPr>
            </w:pPr>
            <w:r>
              <w:rPr>
                <w:b/>
                <w:bCs/>
                <w:color w:val="000000"/>
              </w:rPr>
              <w:t>I</w:t>
            </w:r>
          </w:p>
        </w:tc>
        <w:tc>
          <w:tcPr>
            <w:tcW w:w="8657" w:type="dxa"/>
            <w:gridSpan w:val="3"/>
            <w:tcBorders>
              <w:top w:val="single" w:sz="4" w:space="0" w:color="auto"/>
              <w:left w:val="nil"/>
              <w:bottom w:val="single" w:sz="4" w:space="0" w:color="auto"/>
              <w:right w:val="single" w:sz="4" w:space="0" w:color="auto"/>
            </w:tcBorders>
            <w:shd w:val="clear" w:color="auto" w:fill="FFFFFF"/>
            <w:vAlign w:val="center"/>
            <w:hideMark/>
          </w:tcPr>
          <w:p w:rsidR="00D2075B" w:rsidRDefault="00D2075B" w:rsidP="00532829">
            <w:pPr>
              <w:spacing w:line="276" w:lineRule="auto"/>
              <w:jc w:val="both"/>
              <w:rPr>
                <w:b/>
                <w:bCs/>
                <w:i/>
                <w:iCs/>
                <w:color w:val="000000"/>
                <w:sz w:val="24"/>
                <w:szCs w:val="24"/>
              </w:rPr>
            </w:pPr>
            <w:r>
              <w:rPr>
                <w:b/>
                <w:bCs/>
                <w:i/>
                <w:iCs/>
                <w:color w:val="000000"/>
                <w:spacing w:val="-8"/>
              </w:rPr>
              <w:t>Khu vực bệnh viện, trường học, chợ, bến xe, ga tầu và các khu vực được cấp phép  trông giữ xe theo đúng quy hoạch.</w:t>
            </w:r>
          </w:p>
        </w:tc>
      </w:tr>
      <w:tr w:rsidR="00D2075B" w:rsidTr="00532829">
        <w:trPr>
          <w:trHeight w:val="433"/>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60" w:after="120" w:line="300" w:lineRule="atLeast"/>
              <w:jc w:val="center"/>
              <w:rPr>
                <w:color w:val="000000"/>
                <w:sz w:val="24"/>
                <w:szCs w:val="24"/>
              </w:rPr>
            </w:pPr>
            <w:r>
              <w:rPr>
                <w:color w:val="000000"/>
              </w:rPr>
              <w:t>1</w:t>
            </w:r>
          </w:p>
        </w:tc>
        <w:tc>
          <w:tcPr>
            <w:tcW w:w="5130"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60" w:after="120" w:line="300" w:lineRule="atLeast"/>
              <w:jc w:val="both"/>
              <w:rPr>
                <w:color w:val="000000"/>
                <w:sz w:val="24"/>
                <w:szCs w:val="24"/>
              </w:rPr>
            </w:pPr>
            <w:r>
              <w:rPr>
                <w:color w:val="000000"/>
              </w:rPr>
              <w:t>Xe đạp, xe đạp điện</w:t>
            </w:r>
          </w:p>
        </w:tc>
        <w:tc>
          <w:tcPr>
            <w:tcW w:w="1881"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60" w:after="120" w:line="300" w:lineRule="atLeast"/>
              <w:jc w:val="center"/>
              <w:rPr>
                <w:color w:val="000000"/>
                <w:sz w:val="24"/>
                <w:szCs w:val="24"/>
              </w:rPr>
            </w:pPr>
            <w:r>
              <w:rPr>
                <w:color w:val="000000"/>
              </w:rPr>
              <w:t>Đồng/xe/lượt</w:t>
            </w:r>
          </w:p>
        </w:tc>
        <w:tc>
          <w:tcPr>
            <w:tcW w:w="1646"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60" w:after="120" w:line="300" w:lineRule="atLeast"/>
              <w:jc w:val="center"/>
              <w:rPr>
                <w:color w:val="000000"/>
                <w:sz w:val="24"/>
                <w:szCs w:val="24"/>
              </w:rPr>
            </w:pPr>
            <w:r>
              <w:rPr>
                <w:color w:val="000000"/>
              </w:rPr>
              <w:t>1.000</w:t>
            </w:r>
          </w:p>
        </w:tc>
      </w:tr>
      <w:tr w:rsidR="00D2075B" w:rsidTr="00532829">
        <w:trPr>
          <w:trHeight w:val="553"/>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60" w:line="300" w:lineRule="atLeast"/>
              <w:jc w:val="center"/>
              <w:rPr>
                <w:color w:val="000000"/>
                <w:sz w:val="24"/>
                <w:szCs w:val="24"/>
              </w:rPr>
            </w:pPr>
            <w:r>
              <w:rPr>
                <w:color w:val="000000"/>
              </w:rPr>
              <w:t>2</w:t>
            </w:r>
          </w:p>
        </w:tc>
        <w:tc>
          <w:tcPr>
            <w:tcW w:w="5130"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60" w:line="300" w:lineRule="atLeast"/>
              <w:jc w:val="both"/>
              <w:rPr>
                <w:color w:val="000000"/>
                <w:sz w:val="24"/>
                <w:szCs w:val="24"/>
              </w:rPr>
            </w:pPr>
            <w:r>
              <w:rPr>
                <w:color w:val="000000"/>
              </w:rPr>
              <w:t>Xe mô tô 2 bánh, xe mô tô 3 bánh, xe gắn máy (kể cả xe máy điện)</w:t>
            </w:r>
          </w:p>
        </w:tc>
        <w:tc>
          <w:tcPr>
            <w:tcW w:w="1881"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60" w:line="300" w:lineRule="atLeast"/>
              <w:jc w:val="center"/>
              <w:rPr>
                <w:color w:val="000000"/>
                <w:sz w:val="24"/>
                <w:szCs w:val="24"/>
              </w:rPr>
            </w:pPr>
            <w:r>
              <w:rPr>
                <w:color w:val="000000"/>
              </w:rPr>
              <w:t>Đồng/xe/lượt</w:t>
            </w:r>
          </w:p>
        </w:tc>
        <w:tc>
          <w:tcPr>
            <w:tcW w:w="1646" w:type="dxa"/>
            <w:tcBorders>
              <w:top w:val="nil"/>
              <w:left w:val="nil"/>
              <w:bottom w:val="single" w:sz="4" w:space="0" w:color="auto"/>
              <w:right w:val="single" w:sz="4" w:space="0" w:color="auto"/>
            </w:tcBorders>
            <w:shd w:val="clear" w:color="auto" w:fill="FFFFFF"/>
            <w:vAlign w:val="center"/>
            <w:hideMark/>
          </w:tcPr>
          <w:p w:rsidR="00D2075B" w:rsidRPr="00B418DA" w:rsidRDefault="00D2075B" w:rsidP="00532829">
            <w:pPr>
              <w:spacing w:before="60" w:line="300" w:lineRule="atLeast"/>
              <w:jc w:val="center"/>
              <w:rPr>
                <w:color w:val="FF0000"/>
                <w:sz w:val="24"/>
                <w:szCs w:val="24"/>
              </w:rPr>
            </w:pPr>
            <w:r w:rsidRPr="00B418DA">
              <w:rPr>
                <w:color w:val="FF0000"/>
              </w:rPr>
              <w:t>3.000</w:t>
            </w:r>
          </w:p>
        </w:tc>
      </w:tr>
      <w:tr w:rsidR="00D2075B" w:rsidTr="00532829">
        <w:trPr>
          <w:trHeight w:val="463"/>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60" w:line="300" w:lineRule="atLeast"/>
              <w:jc w:val="center"/>
              <w:rPr>
                <w:color w:val="000000"/>
                <w:sz w:val="24"/>
                <w:szCs w:val="24"/>
              </w:rPr>
            </w:pPr>
            <w:r>
              <w:rPr>
                <w:color w:val="000000"/>
              </w:rPr>
              <w:t>3</w:t>
            </w:r>
          </w:p>
        </w:tc>
        <w:tc>
          <w:tcPr>
            <w:tcW w:w="5130"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60" w:line="300" w:lineRule="atLeast"/>
              <w:jc w:val="both"/>
              <w:rPr>
                <w:color w:val="000000"/>
                <w:sz w:val="24"/>
                <w:szCs w:val="24"/>
              </w:rPr>
            </w:pPr>
            <w:r>
              <w:rPr>
                <w:color w:val="000000"/>
              </w:rPr>
              <w:t>Xe ô tô dưới 12 chỗ ngồi</w:t>
            </w:r>
          </w:p>
        </w:tc>
        <w:tc>
          <w:tcPr>
            <w:tcW w:w="1881"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60" w:line="300" w:lineRule="atLeast"/>
              <w:jc w:val="center"/>
              <w:rPr>
                <w:color w:val="000000"/>
                <w:sz w:val="24"/>
                <w:szCs w:val="24"/>
              </w:rPr>
            </w:pPr>
            <w:r>
              <w:rPr>
                <w:color w:val="000000"/>
              </w:rPr>
              <w:t>Đồng/xe/lượt</w:t>
            </w:r>
          </w:p>
        </w:tc>
        <w:tc>
          <w:tcPr>
            <w:tcW w:w="1646"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60" w:line="300" w:lineRule="atLeast"/>
              <w:jc w:val="center"/>
              <w:rPr>
                <w:color w:val="000000"/>
                <w:sz w:val="24"/>
                <w:szCs w:val="24"/>
              </w:rPr>
            </w:pPr>
            <w:r>
              <w:rPr>
                <w:color w:val="000000"/>
              </w:rPr>
              <w:t>10.000</w:t>
            </w:r>
          </w:p>
        </w:tc>
      </w:tr>
      <w:tr w:rsidR="00D2075B" w:rsidTr="00532829">
        <w:trPr>
          <w:trHeight w:val="569"/>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60" w:line="300" w:lineRule="atLeast"/>
              <w:jc w:val="center"/>
              <w:rPr>
                <w:color w:val="000000"/>
                <w:sz w:val="24"/>
                <w:szCs w:val="24"/>
              </w:rPr>
            </w:pPr>
            <w:r>
              <w:rPr>
                <w:color w:val="000000"/>
              </w:rPr>
              <w:t>4</w:t>
            </w:r>
          </w:p>
        </w:tc>
        <w:tc>
          <w:tcPr>
            <w:tcW w:w="5130"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60" w:line="300" w:lineRule="atLeast"/>
              <w:jc w:val="both"/>
              <w:rPr>
                <w:color w:val="000000"/>
                <w:sz w:val="24"/>
                <w:szCs w:val="24"/>
              </w:rPr>
            </w:pPr>
            <w:r>
              <w:rPr>
                <w:color w:val="000000"/>
                <w:spacing w:val="-4"/>
              </w:rPr>
              <w:t>Xe ô tô từ 12 chỗ ngồi trở lên và các loại xe ô tô khác (Xe chuyên dùng)</w:t>
            </w:r>
          </w:p>
        </w:tc>
        <w:tc>
          <w:tcPr>
            <w:tcW w:w="1881"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60" w:line="300" w:lineRule="atLeast"/>
              <w:jc w:val="center"/>
              <w:rPr>
                <w:color w:val="000000"/>
                <w:sz w:val="24"/>
                <w:szCs w:val="24"/>
              </w:rPr>
            </w:pPr>
            <w:r>
              <w:rPr>
                <w:color w:val="000000"/>
              </w:rPr>
              <w:t>Đồng/xe/lượt</w:t>
            </w:r>
          </w:p>
        </w:tc>
        <w:tc>
          <w:tcPr>
            <w:tcW w:w="1646"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60" w:line="300" w:lineRule="atLeast"/>
              <w:jc w:val="center"/>
              <w:rPr>
                <w:color w:val="000000"/>
                <w:sz w:val="24"/>
                <w:szCs w:val="24"/>
              </w:rPr>
            </w:pPr>
            <w:r>
              <w:rPr>
                <w:color w:val="000000"/>
              </w:rPr>
              <w:t>15.000</w:t>
            </w:r>
          </w:p>
        </w:tc>
      </w:tr>
      <w:tr w:rsidR="00D2075B" w:rsidTr="00532829">
        <w:trPr>
          <w:trHeight w:val="607"/>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line="240" w:lineRule="atLeast"/>
              <w:jc w:val="center"/>
              <w:rPr>
                <w:b/>
                <w:bCs/>
                <w:color w:val="000000"/>
                <w:sz w:val="24"/>
                <w:szCs w:val="24"/>
              </w:rPr>
            </w:pPr>
            <w:r>
              <w:rPr>
                <w:b/>
                <w:bCs/>
                <w:color w:val="000000"/>
              </w:rPr>
              <w:t>II</w:t>
            </w:r>
          </w:p>
        </w:tc>
        <w:tc>
          <w:tcPr>
            <w:tcW w:w="8657" w:type="dxa"/>
            <w:gridSpan w:val="3"/>
            <w:tcBorders>
              <w:top w:val="single" w:sz="4" w:space="0" w:color="auto"/>
              <w:left w:val="nil"/>
              <w:bottom w:val="single" w:sz="4" w:space="0" w:color="auto"/>
              <w:right w:val="single" w:sz="4" w:space="0" w:color="auto"/>
            </w:tcBorders>
            <w:shd w:val="clear" w:color="auto" w:fill="FFFFFF"/>
            <w:vAlign w:val="center"/>
            <w:hideMark/>
          </w:tcPr>
          <w:p w:rsidR="00D2075B" w:rsidRDefault="00D2075B" w:rsidP="00532829">
            <w:pPr>
              <w:spacing w:before="120" w:line="240" w:lineRule="atLeast"/>
              <w:jc w:val="both"/>
              <w:rPr>
                <w:b/>
                <w:bCs/>
                <w:i/>
                <w:iCs/>
                <w:color w:val="000000"/>
                <w:sz w:val="24"/>
                <w:szCs w:val="24"/>
              </w:rPr>
            </w:pPr>
            <w:r>
              <w:rPr>
                <w:b/>
                <w:bCs/>
                <w:i/>
                <w:iCs/>
                <w:color w:val="000000"/>
                <w:spacing w:val="-6"/>
              </w:rPr>
              <w:t>Khu vực có Lễ hội, Hội chợ, khu du lịch, tham quan danh lam thắng cảnh, di tích lịch sử, công trình văn hóa.</w:t>
            </w:r>
          </w:p>
        </w:tc>
      </w:tr>
      <w:tr w:rsidR="00D2075B" w:rsidTr="00532829">
        <w:trPr>
          <w:trHeight w:val="389"/>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1</w:t>
            </w:r>
          </w:p>
        </w:tc>
        <w:tc>
          <w:tcPr>
            <w:tcW w:w="5130"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both"/>
              <w:rPr>
                <w:color w:val="000000"/>
                <w:sz w:val="24"/>
                <w:szCs w:val="24"/>
              </w:rPr>
            </w:pPr>
            <w:r>
              <w:rPr>
                <w:color w:val="000000"/>
              </w:rPr>
              <w:t>Xe đạp, xe đạp điện</w:t>
            </w:r>
          </w:p>
        </w:tc>
        <w:tc>
          <w:tcPr>
            <w:tcW w:w="1881"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Đồng/xe/lượt</w:t>
            </w:r>
          </w:p>
        </w:tc>
        <w:tc>
          <w:tcPr>
            <w:tcW w:w="1646"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2.000</w:t>
            </w:r>
          </w:p>
        </w:tc>
      </w:tr>
      <w:tr w:rsidR="00D2075B" w:rsidTr="00532829">
        <w:trPr>
          <w:trHeight w:val="551"/>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line="276" w:lineRule="auto"/>
              <w:jc w:val="center"/>
              <w:rPr>
                <w:color w:val="000000"/>
                <w:sz w:val="24"/>
                <w:szCs w:val="24"/>
              </w:rPr>
            </w:pPr>
            <w:r>
              <w:rPr>
                <w:color w:val="000000"/>
              </w:rPr>
              <w:t>2</w:t>
            </w:r>
          </w:p>
        </w:tc>
        <w:tc>
          <w:tcPr>
            <w:tcW w:w="5130"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line="276" w:lineRule="auto"/>
              <w:jc w:val="both"/>
              <w:rPr>
                <w:color w:val="000000"/>
                <w:sz w:val="24"/>
                <w:szCs w:val="24"/>
              </w:rPr>
            </w:pPr>
            <w:r>
              <w:rPr>
                <w:color w:val="000000"/>
              </w:rPr>
              <w:t>Xe mô tô 2 bánh, xe mô tô 3 bánh, xe gắn máy (kể cả xe máy điện)</w:t>
            </w:r>
          </w:p>
        </w:tc>
        <w:tc>
          <w:tcPr>
            <w:tcW w:w="1881"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line="276" w:lineRule="auto"/>
              <w:jc w:val="center"/>
              <w:rPr>
                <w:color w:val="000000"/>
                <w:sz w:val="24"/>
                <w:szCs w:val="24"/>
              </w:rPr>
            </w:pPr>
            <w:r>
              <w:rPr>
                <w:color w:val="000000"/>
              </w:rPr>
              <w:t>Đồng/xe/lượt</w:t>
            </w:r>
          </w:p>
        </w:tc>
        <w:tc>
          <w:tcPr>
            <w:tcW w:w="1646"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line="276" w:lineRule="auto"/>
              <w:jc w:val="center"/>
              <w:rPr>
                <w:color w:val="000000"/>
                <w:sz w:val="24"/>
                <w:szCs w:val="24"/>
              </w:rPr>
            </w:pPr>
            <w:r>
              <w:rPr>
                <w:color w:val="000000"/>
              </w:rPr>
              <w:t>4.000</w:t>
            </w:r>
          </w:p>
        </w:tc>
      </w:tr>
      <w:tr w:rsidR="00D2075B" w:rsidTr="00532829">
        <w:trPr>
          <w:trHeight w:val="480"/>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line="276" w:lineRule="auto"/>
              <w:jc w:val="center"/>
              <w:rPr>
                <w:color w:val="000000"/>
                <w:sz w:val="24"/>
                <w:szCs w:val="24"/>
              </w:rPr>
            </w:pPr>
            <w:r>
              <w:rPr>
                <w:color w:val="000000"/>
              </w:rPr>
              <w:t>3</w:t>
            </w:r>
          </w:p>
        </w:tc>
        <w:tc>
          <w:tcPr>
            <w:tcW w:w="5130"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line="276" w:lineRule="auto"/>
              <w:jc w:val="both"/>
              <w:rPr>
                <w:color w:val="000000"/>
                <w:sz w:val="24"/>
                <w:szCs w:val="24"/>
              </w:rPr>
            </w:pPr>
            <w:r>
              <w:rPr>
                <w:color w:val="000000"/>
              </w:rPr>
              <w:t>Xe ô tô dưới 12 chỗ ngồi</w:t>
            </w:r>
          </w:p>
        </w:tc>
        <w:tc>
          <w:tcPr>
            <w:tcW w:w="1881"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line="276" w:lineRule="auto"/>
              <w:jc w:val="center"/>
              <w:rPr>
                <w:color w:val="000000"/>
                <w:sz w:val="24"/>
                <w:szCs w:val="24"/>
              </w:rPr>
            </w:pPr>
            <w:r>
              <w:rPr>
                <w:color w:val="000000"/>
              </w:rPr>
              <w:t>Đồng/xe/lượt</w:t>
            </w:r>
          </w:p>
        </w:tc>
        <w:tc>
          <w:tcPr>
            <w:tcW w:w="1646"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line="276" w:lineRule="auto"/>
              <w:jc w:val="center"/>
              <w:rPr>
                <w:color w:val="000000"/>
                <w:sz w:val="24"/>
                <w:szCs w:val="24"/>
              </w:rPr>
            </w:pPr>
            <w:r>
              <w:rPr>
                <w:color w:val="000000"/>
              </w:rPr>
              <w:t>15.000</w:t>
            </w:r>
          </w:p>
        </w:tc>
      </w:tr>
      <w:tr w:rsidR="00D2075B" w:rsidTr="00532829">
        <w:trPr>
          <w:trHeight w:val="553"/>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line="276" w:lineRule="auto"/>
              <w:jc w:val="center"/>
              <w:rPr>
                <w:color w:val="000000"/>
                <w:sz w:val="24"/>
                <w:szCs w:val="24"/>
              </w:rPr>
            </w:pPr>
            <w:r>
              <w:rPr>
                <w:color w:val="000000"/>
              </w:rPr>
              <w:t>4</w:t>
            </w:r>
          </w:p>
        </w:tc>
        <w:tc>
          <w:tcPr>
            <w:tcW w:w="5130"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line="276" w:lineRule="auto"/>
              <w:jc w:val="both"/>
              <w:rPr>
                <w:color w:val="000000"/>
                <w:sz w:val="24"/>
                <w:szCs w:val="24"/>
              </w:rPr>
            </w:pPr>
            <w:r>
              <w:rPr>
                <w:color w:val="000000"/>
                <w:spacing w:val="-4"/>
              </w:rPr>
              <w:t>Xe ô tô từ 12 chỗ ngồi trở lên và các loại xe ô tô khác (Xe chuyên dùng)</w:t>
            </w:r>
          </w:p>
        </w:tc>
        <w:tc>
          <w:tcPr>
            <w:tcW w:w="1881"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line="276" w:lineRule="auto"/>
              <w:jc w:val="center"/>
              <w:rPr>
                <w:color w:val="000000"/>
                <w:sz w:val="24"/>
                <w:szCs w:val="24"/>
              </w:rPr>
            </w:pPr>
            <w:r>
              <w:rPr>
                <w:color w:val="000000"/>
              </w:rPr>
              <w:t>Đồng/xe/lượt</w:t>
            </w:r>
          </w:p>
        </w:tc>
        <w:tc>
          <w:tcPr>
            <w:tcW w:w="1646"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line="276" w:lineRule="auto"/>
              <w:jc w:val="center"/>
              <w:rPr>
                <w:color w:val="000000"/>
                <w:sz w:val="24"/>
                <w:szCs w:val="24"/>
              </w:rPr>
            </w:pPr>
            <w:r>
              <w:rPr>
                <w:color w:val="000000"/>
              </w:rPr>
              <w:t>20.000</w:t>
            </w:r>
          </w:p>
        </w:tc>
      </w:tr>
      <w:tr w:rsidR="00D2075B" w:rsidTr="00532829">
        <w:trPr>
          <w:trHeight w:val="746"/>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line="240" w:lineRule="atLeast"/>
              <w:jc w:val="center"/>
              <w:rPr>
                <w:b/>
                <w:bCs/>
                <w:color w:val="000000"/>
                <w:sz w:val="24"/>
                <w:szCs w:val="24"/>
              </w:rPr>
            </w:pPr>
            <w:r>
              <w:rPr>
                <w:b/>
                <w:bCs/>
                <w:color w:val="000000"/>
              </w:rPr>
              <w:t>B</w:t>
            </w:r>
          </w:p>
        </w:tc>
        <w:tc>
          <w:tcPr>
            <w:tcW w:w="8657" w:type="dxa"/>
            <w:gridSpan w:val="3"/>
            <w:tcBorders>
              <w:top w:val="single" w:sz="4" w:space="0" w:color="auto"/>
              <w:left w:val="nil"/>
              <w:bottom w:val="single" w:sz="4" w:space="0" w:color="auto"/>
              <w:right w:val="single" w:sz="4" w:space="0" w:color="auto"/>
            </w:tcBorders>
            <w:shd w:val="clear" w:color="auto" w:fill="FFFFFF"/>
            <w:vAlign w:val="center"/>
            <w:hideMark/>
          </w:tcPr>
          <w:p w:rsidR="00D2075B" w:rsidRDefault="00D2075B" w:rsidP="00532829">
            <w:pPr>
              <w:spacing w:before="120" w:line="240" w:lineRule="atLeast"/>
              <w:jc w:val="both"/>
              <w:rPr>
                <w:b/>
                <w:bCs/>
                <w:color w:val="000000"/>
                <w:sz w:val="24"/>
                <w:szCs w:val="24"/>
              </w:rPr>
            </w:pPr>
            <w:r>
              <w:rPr>
                <w:b/>
                <w:bCs/>
                <w:color w:val="000000"/>
              </w:rPr>
              <w:t xml:space="preserve">Giá dịch vụ trông giữ xe đạp, xe gắn máy, xe mô tô, ô tô trả theo lượt ban đêm </w:t>
            </w:r>
            <w:r>
              <w:rPr>
                <w:b/>
                <w:bCs/>
                <w:i/>
                <w:color w:val="000000"/>
              </w:rPr>
              <w:t>(t</w:t>
            </w:r>
            <w:r>
              <w:rPr>
                <w:b/>
                <w:bCs/>
                <w:i/>
                <w:iCs/>
                <w:color w:val="000000"/>
              </w:rPr>
              <w:t>ừ 18 giờ 00 phút đến 6 giờ 00 phút sáng ngày hôm sau)</w:t>
            </w:r>
          </w:p>
        </w:tc>
      </w:tr>
      <w:tr w:rsidR="00D2075B" w:rsidTr="00532829">
        <w:trPr>
          <w:trHeight w:val="701"/>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line="240" w:lineRule="atLeast"/>
              <w:jc w:val="center"/>
              <w:rPr>
                <w:b/>
                <w:bCs/>
                <w:color w:val="000000"/>
                <w:sz w:val="24"/>
                <w:szCs w:val="24"/>
              </w:rPr>
            </w:pPr>
            <w:r>
              <w:rPr>
                <w:b/>
                <w:bCs/>
                <w:color w:val="000000"/>
              </w:rPr>
              <w:t>I</w:t>
            </w:r>
          </w:p>
        </w:tc>
        <w:tc>
          <w:tcPr>
            <w:tcW w:w="8657" w:type="dxa"/>
            <w:gridSpan w:val="3"/>
            <w:tcBorders>
              <w:top w:val="single" w:sz="4" w:space="0" w:color="auto"/>
              <w:left w:val="nil"/>
              <w:bottom w:val="single" w:sz="4" w:space="0" w:color="auto"/>
              <w:right w:val="single" w:sz="4" w:space="0" w:color="auto"/>
            </w:tcBorders>
            <w:shd w:val="clear" w:color="auto" w:fill="FFFFFF"/>
            <w:vAlign w:val="center"/>
            <w:hideMark/>
          </w:tcPr>
          <w:p w:rsidR="00D2075B" w:rsidRDefault="00D2075B" w:rsidP="00532829">
            <w:pPr>
              <w:spacing w:before="120" w:line="240" w:lineRule="atLeast"/>
              <w:jc w:val="both"/>
              <w:rPr>
                <w:b/>
                <w:bCs/>
                <w:i/>
                <w:iCs/>
                <w:color w:val="000000"/>
                <w:sz w:val="24"/>
                <w:szCs w:val="24"/>
              </w:rPr>
            </w:pPr>
            <w:r>
              <w:rPr>
                <w:b/>
                <w:bCs/>
                <w:i/>
                <w:iCs/>
                <w:color w:val="000000"/>
                <w:spacing w:val="-8"/>
              </w:rPr>
              <w:t>Khu vực bệnh viện, trường học, chợ, bến xe, ga tầu và các khu vực được cấp phép trông giữ xe theo đúng quy hoạch.</w:t>
            </w:r>
          </w:p>
        </w:tc>
      </w:tr>
      <w:tr w:rsidR="00D2075B" w:rsidTr="00532829">
        <w:trPr>
          <w:trHeight w:val="468"/>
        </w:trPr>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1</w:t>
            </w:r>
          </w:p>
        </w:tc>
        <w:tc>
          <w:tcPr>
            <w:tcW w:w="5130" w:type="dxa"/>
            <w:tcBorders>
              <w:top w:val="single" w:sz="4" w:space="0" w:color="auto"/>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both"/>
              <w:rPr>
                <w:color w:val="000000"/>
                <w:sz w:val="24"/>
                <w:szCs w:val="24"/>
              </w:rPr>
            </w:pPr>
            <w:r>
              <w:rPr>
                <w:color w:val="000000"/>
              </w:rPr>
              <w:t>Xe đạp, xe đạp điện</w:t>
            </w:r>
          </w:p>
        </w:tc>
        <w:tc>
          <w:tcPr>
            <w:tcW w:w="1881" w:type="dxa"/>
            <w:tcBorders>
              <w:top w:val="single" w:sz="4" w:space="0" w:color="auto"/>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Đồng/xe/lượt</w:t>
            </w:r>
          </w:p>
        </w:tc>
        <w:tc>
          <w:tcPr>
            <w:tcW w:w="1646" w:type="dxa"/>
            <w:tcBorders>
              <w:top w:val="single" w:sz="4" w:space="0" w:color="auto"/>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2.000</w:t>
            </w:r>
          </w:p>
        </w:tc>
      </w:tr>
      <w:tr w:rsidR="00D2075B" w:rsidTr="00532829">
        <w:trPr>
          <w:trHeight w:val="696"/>
        </w:trPr>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60" w:line="276" w:lineRule="auto"/>
              <w:jc w:val="center"/>
              <w:rPr>
                <w:color w:val="000000"/>
                <w:sz w:val="24"/>
                <w:szCs w:val="24"/>
              </w:rPr>
            </w:pPr>
            <w:r>
              <w:rPr>
                <w:color w:val="000000"/>
              </w:rPr>
              <w:t>2</w:t>
            </w:r>
          </w:p>
        </w:tc>
        <w:tc>
          <w:tcPr>
            <w:tcW w:w="5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60" w:line="276" w:lineRule="auto"/>
              <w:jc w:val="both"/>
              <w:rPr>
                <w:color w:val="000000"/>
                <w:sz w:val="24"/>
                <w:szCs w:val="24"/>
              </w:rPr>
            </w:pPr>
            <w:r>
              <w:rPr>
                <w:color w:val="000000"/>
              </w:rPr>
              <w:t>Xe mô tô 2 bánh, xe mô tô 3 bánh, xe gắn máy (kể cả xe máy điện)</w:t>
            </w:r>
          </w:p>
        </w:tc>
        <w:tc>
          <w:tcPr>
            <w:tcW w:w="1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60" w:line="276" w:lineRule="auto"/>
              <w:jc w:val="center"/>
              <w:rPr>
                <w:color w:val="000000"/>
                <w:sz w:val="24"/>
                <w:szCs w:val="24"/>
              </w:rPr>
            </w:pPr>
            <w:r>
              <w:rPr>
                <w:color w:val="000000"/>
              </w:rPr>
              <w:t>Đồng/xe/lượt</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60" w:line="276" w:lineRule="auto"/>
              <w:jc w:val="center"/>
              <w:rPr>
                <w:color w:val="000000"/>
                <w:sz w:val="24"/>
                <w:szCs w:val="24"/>
              </w:rPr>
            </w:pPr>
            <w:r>
              <w:rPr>
                <w:color w:val="000000"/>
              </w:rPr>
              <w:t>4.000</w:t>
            </w:r>
          </w:p>
        </w:tc>
      </w:tr>
      <w:tr w:rsidR="00D2075B" w:rsidTr="00532829">
        <w:trPr>
          <w:trHeight w:val="515"/>
        </w:trPr>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60" w:line="240" w:lineRule="atLeast"/>
              <w:jc w:val="center"/>
              <w:rPr>
                <w:color w:val="000000"/>
                <w:sz w:val="24"/>
                <w:szCs w:val="24"/>
              </w:rPr>
            </w:pPr>
            <w:r>
              <w:rPr>
                <w:color w:val="000000"/>
              </w:rPr>
              <w:t>3</w:t>
            </w:r>
          </w:p>
        </w:tc>
        <w:tc>
          <w:tcPr>
            <w:tcW w:w="5130" w:type="dxa"/>
            <w:tcBorders>
              <w:top w:val="single" w:sz="4" w:space="0" w:color="auto"/>
              <w:left w:val="nil"/>
              <w:bottom w:val="single" w:sz="4" w:space="0" w:color="auto"/>
              <w:right w:val="single" w:sz="4" w:space="0" w:color="auto"/>
            </w:tcBorders>
            <w:shd w:val="clear" w:color="auto" w:fill="FFFFFF"/>
            <w:vAlign w:val="center"/>
            <w:hideMark/>
          </w:tcPr>
          <w:p w:rsidR="00D2075B" w:rsidRDefault="00D2075B" w:rsidP="00532829">
            <w:pPr>
              <w:spacing w:before="60" w:line="240" w:lineRule="atLeast"/>
              <w:jc w:val="both"/>
              <w:rPr>
                <w:color w:val="000000"/>
                <w:sz w:val="24"/>
                <w:szCs w:val="24"/>
              </w:rPr>
            </w:pPr>
            <w:r>
              <w:rPr>
                <w:color w:val="000000"/>
              </w:rPr>
              <w:t>Xe ô tô dưới 12 chỗ ngồi</w:t>
            </w:r>
          </w:p>
        </w:tc>
        <w:tc>
          <w:tcPr>
            <w:tcW w:w="1881" w:type="dxa"/>
            <w:tcBorders>
              <w:top w:val="single" w:sz="4" w:space="0" w:color="auto"/>
              <w:left w:val="nil"/>
              <w:bottom w:val="single" w:sz="4" w:space="0" w:color="auto"/>
              <w:right w:val="single" w:sz="4" w:space="0" w:color="auto"/>
            </w:tcBorders>
            <w:shd w:val="clear" w:color="auto" w:fill="FFFFFF"/>
            <w:vAlign w:val="center"/>
            <w:hideMark/>
          </w:tcPr>
          <w:p w:rsidR="00D2075B" w:rsidRDefault="00D2075B" w:rsidP="00532829">
            <w:pPr>
              <w:spacing w:before="60" w:line="240" w:lineRule="atLeast"/>
              <w:jc w:val="center"/>
              <w:rPr>
                <w:color w:val="000000"/>
                <w:sz w:val="24"/>
                <w:szCs w:val="24"/>
              </w:rPr>
            </w:pPr>
            <w:r>
              <w:rPr>
                <w:color w:val="000000"/>
              </w:rPr>
              <w:t>Đồng/xe/lượt</w:t>
            </w:r>
          </w:p>
        </w:tc>
        <w:tc>
          <w:tcPr>
            <w:tcW w:w="1646" w:type="dxa"/>
            <w:tcBorders>
              <w:top w:val="single" w:sz="4" w:space="0" w:color="auto"/>
              <w:left w:val="nil"/>
              <w:bottom w:val="single" w:sz="4" w:space="0" w:color="auto"/>
              <w:right w:val="single" w:sz="4" w:space="0" w:color="auto"/>
            </w:tcBorders>
            <w:shd w:val="clear" w:color="auto" w:fill="FFFFFF"/>
            <w:vAlign w:val="center"/>
            <w:hideMark/>
          </w:tcPr>
          <w:p w:rsidR="00D2075B" w:rsidRDefault="00D2075B" w:rsidP="00532829">
            <w:pPr>
              <w:spacing w:before="60" w:line="240" w:lineRule="atLeast"/>
              <w:jc w:val="center"/>
              <w:rPr>
                <w:color w:val="000000"/>
                <w:sz w:val="24"/>
                <w:szCs w:val="24"/>
              </w:rPr>
            </w:pPr>
            <w:r>
              <w:rPr>
                <w:color w:val="000000"/>
              </w:rPr>
              <w:t>15.000</w:t>
            </w:r>
          </w:p>
        </w:tc>
      </w:tr>
      <w:tr w:rsidR="00D2075B" w:rsidTr="00532829">
        <w:trPr>
          <w:trHeight w:val="551"/>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60" w:line="276" w:lineRule="auto"/>
              <w:jc w:val="center"/>
              <w:rPr>
                <w:color w:val="000000"/>
                <w:sz w:val="24"/>
                <w:szCs w:val="24"/>
              </w:rPr>
            </w:pPr>
            <w:r>
              <w:rPr>
                <w:color w:val="000000"/>
              </w:rPr>
              <w:t>4</w:t>
            </w:r>
          </w:p>
        </w:tc>
        <w:tc>
          <w:tcPr>
            <w:tcW w:w="5130"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line="240" w:lineRule="atLeast"/>
              <w:jc w:val="both"/>
              <w:rPr>
                <w:color w:val="000000"/>
                <w:sz w:val="24"/>
                <w:szCs w:val="24"/>
              </w:rPr>
            </w:pPr>
            <w:r>
              <w:rPr>
                <w:color w:val="000000"/>
                <w:spacing w:val="-4"/>
              </w:rPr>
              <w:t>Xe ô tô từ 12 chỗ ngồi trở lên và các loại xe ô tô khác (Xe chuyên dùng)</w:t>
            </w:r>
          </w:p>
        </w:tc>
        <w:tc>
          <w:tcPr>
            <w:tcW w:w="1881"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60" w:line="276" w:lineRule="auto"/>
              <w:jc w:val="center"/>
              <w:rPr>
                <w:color w:val="000000"/>
                <w:sz w:val="24"/>
                <w:szCs w:val="24"/>
              </w:rPr>
            </w:pPr>
            <w:r>
              <w:rPr>
                <w:color w:val="000000"/>
              </w:rPr>
              <w:t>Đồng/xe/lượt</w:t>
            </w:r>
          </w:p>
        </w:tc>
        <w:tc>
          <w:tcPr>
            <w:tcW w:w="1646"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60" w:line="276" w:lineRule="auto"/>
              <w:jc w:val="center"/>
              <w:rPr>
                <w:color w:val="000000"/>
                <w:sz w:val="24"/>
                <w:szCs w:val="24"/>
              </w:rPr>
            </w:pPr>
            <w:r>
              <w:rPr>
                <w:color w:val="000000"/>
              </w:rPr>
              <w:t>25.000</w:t>
            </w:r>
          </w:p>
        </w:tc>
      </w:tr>
      <w:tr w:rsidR="00D2075B" w:rsidTr="00532829">
        <w:trPr>
          <w:trHeight w:val="745"/>
        </w:trPr>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line="276" w:lineRule="auto"/>
              <w:jc w:val="center"/>
              <w:rPr>
                <w:b/>
                <w:bCs/>
                <w:color w:val="000000"/>
                <w:sz w:val="24"/>
                <w:szCs w:val="24"/>
              </w:rPr>
            </w:pPr>
            <w:r>
              <w:rPr>
                <w:b/>
                <w:bCs/>
                <w:color w:val="000000"/>
              </w:rPr>
              <w:lastRenderedPageBreak/>
              <w:t>II</w:t>
            </w:r>
          </w:p>
        </w:tc>
        <w:tc>
          <w:tcPr>
            <w:tcW w:w="8657" w:type="dxa"/>
            <w:gridSpan w:val="3"/>
            <w:tcBorders>
              <w:top w:val="single" w:sz="4" w:space="0" w:color="auto"/>
              <w:left w:val="nil"/>
              <w:bottom w:val="single" w:sz="4" w:space="0" w:color="auto"/>
              <w:right w:val="single" w:sz="4" w:space="0" w:color="auto"/>
            </w:tcBorders>
            <w:shd w:val="clear" w:color="auto" w:fill="FFFFFF"/>
            <w:vAlign w:val="center"/>
            <w:hideMark/>
          </w:tcPr>
          <w:p w:rsidR="00D2075B" w:rsidRDefault="00D2075B" w:rsidP="00532829">
            <w:pPr>
              <w:spacing w:before="120" w:line="276" w:lineRule="auto"/>
              <w:jc w:val="both"/>
              <w:rPr>
                <w:b/>
                <w:bCs/>
                <w:i/>
                <w:iCs/>
                <w:color w:val="000000"/>
                <w:sz w:val="24"/>
                <w:szCs w:val="24"/>
              </w:rPr>
            </w:pPr>
            <w:r>
              <w:rPr>
                <w:b/>
                <w:bCs/>
                <w:i/>
                <w:iCs/>
                <w:color w:val="000000"/>
                <w:spacing w:val="-6"/>
              </w:rPr>
              <w:t>Khu vực có Lễ hội, Hội chợ, khu du lịch, tham quan danh lam thắng cảnh, di tích lịch sử, công trình văn hóa.</w:t>
            </w:r>
          </w:p>
        </w:tc>
      </w:tr>
      <w:tr w:rsidR="00D2075B" w:rsidTr="00532829">
        <w:trPr>
          <w:trHeight w:val="468"/>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1</w:t>
            </w:r>
          </w:p>
        </w:tc>
        <w:tc>
          <w:tcPr>
            <w:tcW w:w="5130"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both"/>
              <w:rPr>
                <w:color w:val="000000"/>
                <w:sz w:val="24"/>
                <w:szCs w:val="24"/>
              </w:rPr>
            </w:pPr>
            <w:r>
              <w:rPr>
                <w:color w:val="000000"/>
              </w:rPr>
              <w:t>Xe đạp, xe đạp điện</w:t>
            </w:r>
          </w:p>
        </w:tc>
        <w:tc>
          <w:tcPr>
            <w:tcW w:w="1881"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Đồng/xe/lượt</w:t>
            </w:r>
          </w:p>
        </w:tc>
        <w:tc>
          <w:tcPr>
            <w:tcW w:w="1646"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2.000</w:t>
            </w:r>
          </w:p>
        </w:tc>
      </w:tr>
      <w:tr w:rsidR="00D2075B" w:rsidTr="00532829">
        <w:trPr>
          <w:trHeight w:val="744"/>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2</w:t>
            </w:r>
          </w:p>
        </w:tc>
        <w:tc>
          <w:tcPr>
            <w:tcW w:w="5130"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both"/>
              <w:rPr>
                <w:color w:val="000000"/>
                <w:sz w:val="24"/>
                <w:szCs w:val="24"/>
              </w:rPr>
            </w:pPr>
            <w:r>
              <w:rPr>
                <w:color w:val="000000"/>
              </w:rPr>
              <w:t>Xe mô tô 2 bánh, xe mô tô 3 bánh, xe gắn máy (kể cả xe máy điện)</w:t>
            </w:r>
          </w:p>
        </w:tc>
        <w:tc>
          <w:tcPr>
            <w:tcW w:w="1881"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Đồng/xe/lượt</w:t>
            </w:r>
          </w:p>
        </w:tc>
        <w:tc>
          <w:tcPr>
            <w:tcW w:w="1646"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5.000</w:t>
            </w:r>
          </w:p>
        </w:tc>
      </w:tr>
      <w:tr w:rsidR="00D2075B" w:rsidTr="00532829">
        <w:trPr>
          <w:trHeight w:val="492"/>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3</w:t>
            </w:r>
          </w:p>
        </w:tc>
        <w:tc>
          <w:tcPr>
            <w:tcW w:w="5130"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both"/>
              <w:rPr>
                <w:color w:val="000000"/>
                <w:sz w:val="24"/>
                <w:szCs w:val="24"/>
              </w:rPr>
            </w:pPr>
            <w:r>
              <w:rPr>
                <w:color w:val="000000"/>
              </w:rPr>
              <w:t>Xe ô tô dưới 12 chỗ ngồi</w:t>
            </w:r>
          </w:p>
        </w:tc>
        <w:tc>
          <w:tcPr>
            <w:tcW w:w="1881"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Đồng/xe/lượt</w:t>
            </w:r>
          </w:p>
        </w:tc>
        <w:tc>
          <w:tcPr>
            <w:tcW w:w="1646"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20.000</w:t>
            </w:r>
          </w:p>
        </w:tc>
      </w:tr>
      <w:tr w:rsidR="00D2075B" w:rsidTr="00532829">
        <w:trPr>
          <w:trHeight w:val="768"/>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4</w:t>
            </w:r>
          </w:p>
        </w:tc>
        <w:tc>
          <w:tcPr>
            <w:tcW w:w="5130"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both"/>
              <w:rPr>
                <w:color w:val="000000"/>
                <w:sz w:val="24"/>
                <w:szCs w:val="24"/>
              </w:rPr>
            </w:pPr>
            <w:r>
              <w:rPr>
                <w:color w:val="000000"/>
                <w:spacing w:val="-4"/>
              </w:rPr>
              <w:t>Xe ô tô từ 12 chỗ ngồi trở lên và các loại xe ô tô khác (Xe chuyên dùng)</w:t>
            </w:r>
          </w:p>
        </w:tc>
        <w:tc>
          <w:tcPr>
            <w:tcW w:w="1881"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Đồng/xe/lượt</w:t>
            </w:r>
          </w:p>
        </w:tc>
        <w:tc>
          <w:tcPr>
            <w:tcW w:w="1646"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30.000</w:t>
            </w:r>
          </w:p>
        </w:tc>
      </w:tr>
      <w:tr w:rsidR="00D2075B" w:rsidTr="00532829">
        <w:trPr>
          <w:trHeight w:val="537"/>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line="276" w:lineRule="auto"/>
              <w:jc w:val="center"/>
              <w:rPr>
                <w:b/>
                <w:color w:val="000000"/>
                <w:sz w:val="24"/>
                <w:szCs w:val="24"/>
              </w:rPr>
            </w:pPr>
            <w:r>
              <w:rPr>
                <w:b/>
                <w:color w:val="000000"/>
              </w:rPr>
              <w:t>C</w:t>
            </w:r>
          </w:p>
        </w:tc>
        <w:tc>
          <w:tcPr>
            <w:tcW w:w="8657" w:type="dxa"/>
            <w:gridSpan w:val="3"/>
            <w:tcBorders>
              <w:top w:val="single" w:sz="4" w:space="0" w:color="auto"/>
              <w:left w:val="nil"/>
              <w:bottom w:val="single" w:sz="4" w:space="0" w:color="auto"/>
              <w:right w:val="single" w:sz="4" w:space="0" w:color="auto"/>
            </w:tcBorders>
            <w:shd w:val="clear" w:color="auto" w:fill="FFFFFF"/>
            <w:vAlign w:val="center"/>
            <w:hideMark/>
          </w:tcPr>
          <w:p w:rsidR="00D2075B" w:rsidRDefault="00D2075B" w:rsidP="00532829">
            <w:pPr>
              <w:spacing w:line="276" w:lineRule="auto"/>
              <w:jc w:val="both"/>
              <w:rPr>
                <w:b/>
                <w:bCs/>
                <w:color w:val="000000"/>
                <w:sz w:val="24"/>
                <w:szCs w:val="24"/>
              </w:rPr>
            </w:pPr>
            <w:r>
              <w:rPr>
                <w:b/>
                <w:bCs/>
                <w:color w:val="000000"/>
                <w:spacing w:val="-6"/>
              </w:rPr>
              <w:t xml:space="preserve">Giá dịch vụ trông giữ xe đạp, xe gắn máy, xe mô tô, ô tô trả theo tháng </w:t>
            </w:r>
            <w:r>
              <w:rPr>
                <w:b/>
                <w:bCs/>
                <w:color w:val="000000"/>
              </w:rPr>
              <w:t> </w:t>
            </w:r>
          </w:p>
        </w:tc>
      </w:tr>
      <w:tr w:rsidR="00D2075B" w:rsidTr="00532829">
        <w:trPr>
          <w:trHeight w:val="552"/>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1</w:t>
            </w:r>
          </w:p>
        </w:tc>
        <w:tc>
          <w:tcPr>
            <w:tcW w:w="5130"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both"/>
              <w:rPr>
                <w:color w:val="000000"/>
                <w:sz w:val="24"/>
                <w:szCs w:val="24"/>
              </w:rPr>
            </w:pPr>
            <w:r>
              <w:rPr>
                <w:color w:val="000000"/>
              </w:rPr>
              <w:t>Xe đạp, xe đạp điện</w:t>
            </w:r>
          </w:p>
        </w:tc>
        <w:tc>
          <w:tcPr>
            <w:tcW w:w="1881"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Đồng/xe/tháng</w:t>
            </w:r>
          </w:p>
        </w:tc>
        <w:tc>
          <w:tcPr>
            <w:tcW w:w="1646"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15.000</w:t>
            </w:r>
          </w:p>
        </w:tc>
      </w:tr>
      <w:tr w:rsidR="00D2075B" w:rsidTr="00532829">
        <w:trPr>
          <w:trHeight w:val="768"/>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2</w:t>
            </w:r>
          </w:p>
        </w:tc>
        <w:tc>
          <w:tcPr>
            <w:tcW w:w="5130"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both"/>
              <w:rPr>
                <w:color w:val="000000"/>
                <w:sz w:val="24"/>
                <w:szCs w:val="24"/>
              </w:rPr>
            </w:pPr>
            <w:r>
              <w:rPr>
                <w:color w:val="000000"/>
              </w:rPr>
              <w:t>Xe mô tô 2 bánh, xe mô tô 3 bánh, xe gắn máy (kể cả xe máy điện)</w:t>
            </w:r>
          </w:p>
        </w:tc>
        <w:tc>
          <w:tcPr>
            <w:tcW w:w="1881"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Đồng/xe/tháng</w:t>
            </w:r>
          </w:p>
        </w:tc>
        <w:tc>
          <w:tcPr>
            <w:tcW w:w="1646"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40.000</w:t>
            </w:r>
          </w:p>
        </w:tc>
      </w:tr>
      <w:tr w:rsidR="00D2075B" w:rsidTr="00532829">
        <w:trPr>
          <w:trHeight w:val="552"/>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3</w:t>
            </w:r>
          </w:p>
        </w:tc>
        <w:tc>
          <w:tcPr>
            <w:tcW w:w="5130"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both"/>
              <w:rPr>
                <w:color w:val="000000"/>
                <w:sz w:val="24"/>
                <w:szCs w:val="24"/>
              </w:rPr>
            </w:pPr>
            <w:r>
              <w:rPr>
                <w:color w:val="000000"/>
              </w:rPr>
              <w:t>Xe ô tô dưới 12 chỗ ngồi</w:t>
            </w:r>
          </w:p>
        </w:tc>
        <w:tc>
          <w:tcPr>
            <w:tcW w:w="1881"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Đồng/xe/tháng</w:t>
            </w:r>
          </w:p>
        </w:tc>
        <w:tc>
          <w:tcPr>
            <w:tcW w:w="1646"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350.000</w:t>
            </w:r>
          </w:p>
        </w:tc>
      </w:tr>
      <w:tr w:rsidR="00D2075B" w:rsidTr="00532829">
        <w:trPr>
          <w:trHeight w:val="645"/>
        </w:trPr>
        <w:tc>
          <w:tcPr>
            <w:tcW w:w="677" w:type="dxa"/>
            <w:tcBorders>
              <w:top w:val="nil"/>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4</w:t>
            </w:r>
          </w:p>
        </w:tc>
        <w:tc>
          <w:tcPr>
            <w:tcW w:w="5130"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both"/>
              <w:rPr>
                <w:color w:val="000000"/>
                <w:sz w:val="24"/>
                <w:szCs w:val="24"/>
              </w:rPr>
            </w:pPr>
            <w:r>
              <w:rPr>
                <w:color w:val="000000"/>
                <w:spacing w:val="-4"/>
              </w:rPr>
              <w:t xml:space="preserve">Xe ô tô từ 12 chỗ ngồi đến 29 chỗ ngồi </w:t>
            </w:r>
          </w:p>
        </w:tc>
        <w:tc>
          <w:tcPr>
            <w:tcW w:w="1881"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Đồng/xe/tháng</w:t>
            </w:r>
          </w:p>
        </w:tc>
        <w:tc>
          <w:tcPr>
            <w:tcW w:w="1646" w:type="dxa"/>
            <w:tcBorders>
              <w:top w:val="nil"/>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450.000</w:t>
            </w:r>
          </w:p>
        </w:tc>
      </w:tr>
      <w:tr w:rsidR="00D2075B" w:rsidTr="00532829">
        <w:trPr>
          <w:trHeight w:val="816"/>
        </w:trPr>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5</w:t>
            </w:r>
          </w:p>
        </w:tc>
        <w:tc>
          <w:tcPr>
            <w:tcW w:w="5130" w:type="dxa"/>
            <w:tcBorders>
              <w:top w:val="single" w:sz="4" w:space="0" w:color="auto"/>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both"/>
              <w:rPr>
                <w:color w:val="000000"/>
                <w:spacing w:val="-8"/>
                <w:sz w:val="24"/>
                <w:szCs w:val="24"/>
              </w:rPr>
            </w:pPr>
            <w:r>
              <w:rPr>
                <w:color w:val="000000"/>
                <w:spacing w:val="-8"/>
              </w:rPr>
              <w:t>Xe ô tô từ 29 chỗ ngồi trở lên và các loại xe ô tô khác (Xe chuyên dùng, xe tải, xe lu, xe cẩu)</w:t>
            </w:r>
          </w:p>
        </w:tc>
        <w:tc>
          <w:tcPr>
            <w:tcW w:w="1881" w:type="dxa"/>
            <w:tcBorders>
              <w:top w:val="single" w:sz="4" w:space="0" w:color="auto"/>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Đồng/xe/tháng</w:t>
            </w:r>
          </w:p>
        </w:tc>
        <w:tc>
          <w:tcPr>
            <w:tcW w:w="1646" w:type="dxa"/>
            <w:tcBorders>
              <w:top w:val="single" w:sz="4" w:space="0" w:color="auto"/>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600.000</w:t>
            </w:r>
          </w:p>
        </w:tc>
      </w:tr>
      <w:tr w:rsidR="00D2075B" w:rsidTr="00532829">
        <w:trPr>
          <w:trHeight w:val="816"/>
        </w:trPr>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rPr>
                <w:color w:val="000000"/>
              </w:rPr>
              <w:t>6</w:t>
            </w:r>
          </w:p>
        </w:tc>
        <w:tc>
          <w:tcPr>
            <w:tcW w:w="8657" w:type="dxa"/>
            <w:gridSpan w:val="3"/>
            <w:tcBorders>
              <w:top w:val="single" w:sz="4" w:space="0" w:color="auto"/>
              <w:left w:val="nil"/>
              <w:bottom w:val="single" w:sz="4" w:space="0" w:color="auto"/>
              <w:right w:val="single" w:sz="4" w:space="0" w:color="auto"/>
            </w:tcBorders>
            <w:shd w:val="clear" w:color="auto" w:fill="FFFFFF"/>
            <w:vAlign w:val="center"/>
            <w:hideMark/>
          </w:tcPr>
          <w:p w:rsidR="00D2075B" w:rsidRDefault="00D2075B" w:rsidP="00532829">
            <w:pPr>
              <w:spacing w:before="120" w:after="120" w:line="276" w:lineRule="auto"/>
              <w:jc w:val="center"/>
              <w:rPr>
                <w:color w:val="000000"/>
                <w:sz w:val="24"/>
                <w:szCs w:val="24"/>
              </w:rPr>
            </w:pPr>
            <w:r>
              <w:t>Đối với giá trông giữ xe theo tháng tại các xã vùng sâu, vùng xa, vùng đặc biệt khó khăn mức thu bằng 60%  theo mức giá quy định tại mục này</w:t>
            </w:r>
          </w:p>
        </w:tc>
      </w:tr>
    </w:tbl>
    <w:p w:rsidR="00D2075B" w:rsidRPr="001F3D12" w:rsidRDefault="00D2075B" w:rsidP="00D2075B">
      <w:pPr>
        <w:spacing w:before="60" w:line="360" w:lineRule="atLeast"/>
        <w:ind w:firstLine="567"/>
        <w:jc w:val="both"/>
        <w:rPr>
          <w:lang w:val="nl-NL"/>
        </w:rPr>
      </w:pPr>
    </w:p>
    <w:p w:rsidR="007239F4" w:rsidRDefault="007239F4"/>
    <w:sectPr w:rsidR="007239F4" w:rsidSect="00C35B3B">
      <w:footerReference w:type="even" r:id="rId6"/>
      <w:footerReference w:type="default" r:id="rId7"/>
      <w:pgSz w:w="11907" w:h="16840" w:code="9"/>
      <w:pgMar w:top="1134" w:right="851" w:bottom="851" w:left="1701"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118" w:rsidRDefault="00632118" w:rsidP="003C4660">
      <w:r>
        <w:separator/>
      </w:r>
    </w:p>
  </w:endnote>
  <w:endnote w:type="continuationSeparator" w:id="1">
    <w:p w:rsidR="00632118" w:rsidRDefault="00632118" w:rsidP="003C4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EE" w:rsidRDefault="003C4660" w:rsidP="00832B91">
    <w:pPr>
      <w:pStyle w:val="Chntrang"/>
      <w:framePr w:wrap="around" w:vAnchor="text" w:hAnchor="margin" w:xAlign="right" w:y="1"/>
      <w:rPr>
        <w:rStyle w:val="Shiutrang"/>
      </w:rPr>
    </w:pPr>
    <w:r>
      <w:rPr>
        <w:rStyle w:val="Shiutrang"/>
      </w:rPr>
      <w:fldChar w:fldCharType="begin"/>
    </w:r>
    <w:r w:rsidR="00D2075B">
      <w:rPr>
        <w:rStyle w:val="Shiutrang"/>
      </w:rPr>
      <w:instrText xml:space="preserve">PAGE  </w:instrText>
    </w:r>
    <w:r>
      <w:rPr>
        <w:rStyle w:val="Shiutrang"/>
      </w:rPr>
      <w:fldChar w:fldCharType="end"/>
    </w:r>
  </w:p>
  <w:p w:rsidR="00230DEE" w:rsidRDefault="00632118" w:rsidP="00827F84">
    <w:pPr>
      <w:pStyle w:val="Chntrang"/>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EE" w:rsidRDefault="003C4660" w:rsidP="00832B91">
    <w:pPr>
      <w:pStyle w:val="Chntrang"/>
      <w:framePr w:wrap="around" w:vAnchor="text" w:hAnchor="margin" w:xAlign="right" w:y="1"/>
      <w:rPr>
        <w:rStyle w:val="Shiutrang"/>
      </w:rPr>
    </w:pPr>
    <w:r>
      <w:rPr>
        <w:rStyle w:val="Shiutrang"/>
      </w:rPr>
      <w:fldChar w:fldCharType="begin"/>
    </w:r>
    <w:r w:rsidR="00D2075B">
      <w:rPr>
        <w:rStyle w:val="Shiutrang"/>
      </w:rPr>
      <w:instrText xml:space="preserve">PAGE  </w:instrText>
    </w:r>
    <w:r>
      <w:rPr>
        <w:rStyle w:val="Shiutrang"/>
      </w:rPr>
      <w:fldChar w:fldCharType="separate"/>
    </w:r>
    <w:r w:rsidR="0034384D">
      <w:rPr>
        <w:rStyle w:val="Shiutrang"/>
        <w:noProof/>
      </w:rPr>
      <w:t>2</w:t>
    </w:r>
    <w:r>
      <w:rPr>
        <w:rStyle w:val="Shiutrang"/>
      </w:rPr>
      <w:fldChar w:fldCharType="end"/>
    </w:r>
  </w:p>
  <w:p w:rsidR="00230DEE" w:rsidRDefault="00632118" w:rsidP="00827F84">
    <w:pPr>
      <w:pStyle w:val="Chntrang"/>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118" w:rsidRDefault="00632118" w:rsidP="003C4660">
      <w:r>
        <w:separator/>
      </w:r>
    </w:p>
  </w:footnote>
  <w:footnote w:type="continuationSeparator" w:id="1">
    <w:p w:rsidR="00632118" w:rsidRDefault="00632118" w:rsidP="003C46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D2075B"/>
    <w:rsid w:val="002E386D"/>
    <w:rsid w:val="0034384D"/>
    <w:rsid w:val="003C4660"/>
    <w:rsid w:val="0052173D"/>
    <w:rsid w:val="00632118"/>
    <w:rsid w:val="006F1711"/>
    <w:rsid w:val="007239F4"/>
    <w:rsid w:val="00D20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2075B"/>
    <w:pPr>
      <w:spacing w:after="0" w:line="240" w:lineRule="auto"/>
    </w:pPr>
    <w:rPr>
      <w:rFonts w:eastAsia="Times New Roman"/>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ntrang">
    <w:name w:val="footer"/>
    <w:basedOn w:val="Chun"/>
    <w:link w:val="ChntrangChar"/>
    <w:rsid w:val="00D2075B"/>
    <w:pPr>
      <w:tabs>
        <w:tab w:val="center" w:pos="4320"/>
        <w:tab w:val="right" w:pos="8640"/>
      </w:tabs>
    </w:pPr>
  </w:style>
  <w:style w:type="character" w:customStyle="1" w:styleId="ChntrangChar">
    <w:name w:val="Chân trang Char"/>
    <w:basedOn w:val="Phngmcnhcaonvn"/>
    <w:link w:val="Chntrang"/>
    <w:rsid w:val="00D2075B"/>
    <w:rPr>
      <w:rFonts w:eastAsia="Times New Roman"/>
    </w:rPr>
  </w:style>
  <w:style w:type="character" w:styleId="Shiutrang">
    <w:name w:val="page number"/>
    <w:basedOn w:val="Phngmcnhcaonvn"/>
    <w:rsid w:val="00D207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7218</Characters>
  <Application>Microsoft Office Word</Application>
  <DocSecurity>0</DocSecurity>
  <Lines>60</Lines>
  <Paragraphs>16</Paragraphs>
  <ScaleCrop>false</ScaleCrop>
  <Company>Nam Thang Computer</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tupa</dc:creator>
  <cp:lastModifiedBy>ADMIN</cp:lastModifiedBy>
  <cp:revision>2</cp:revision>
  <dcterms:created xsi:type="dcterms:W3CDTF">2017-03-03T02:55:00Z</dcterms:created>
  <dcterms:modified xsi:type="dcterms:W3CDTF">2017-03-03T02:55:00Z</dcterms:modified>
</cp:coreProperties>
</file>